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 aprīļa noteikumos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 aprīļa noteikumos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 (Latvijas Vēstnesis, 2024, 66.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programmas iznākuma rādītājs – biedrības un nodibinājumi, kuri saņēmuši atbalstu, – 82;".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programmas rezultāta rādītājs – diskriminācijas riskam pakļautas personas, kurām mazināts diskriminācijas risks un veicināta iekļaušanās sabiedrībā, – 12 300."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Pasākumam plānotais un pieejamais kopējais attiecināmais finansējums ir 3 577 962 </w:t>
      </w:r>
      <w:r w:rsidR="00000000" w:rsidRPr="00000000" w:rsidDel="00000000">
        <w:rPr>
          <w:i w:val="1"/>
          <w:rtl w:val="0"/>
        </w:rPr>
        <w:t xml:space="preserve">euro</w:t>
      </w:r>
      <w:r w:rsidR="00000000" w:rsidRPr="00000000" w:rsidDel="00000000">
        <w:rPr>
          <w:rtl w:val="0"/>
        </w:rPr>
        <w:t xml:space="preserve">, tai skaitā Eiropas Sociālā fonda Plus finansējums – 3 041 267 </w:t>
      </w:r>
      <w:r w:rsidR="00000000" w:rsidRPr="00000000" w:rsidDel="00000000">
        <w:rPr>
          <w:i w:val="1"/>
          <w:rtl w:val="0"/>
        </w:rPr>
        <w:t xml:space="preserve">euro </w:t>
      </w:r>
      <w:r w:rsidR="00000000" w:rsidRPr="00000000" w:rsidDel="00000000">
        <w:rPr>
          <w:rtl w:val="0"/>
        </w:rPr>
        <w:t xml:space="preserve">un valsts budžeta līdzfinansējums – 536 695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Projektu iesniegumu atlases kārtu izsludina par ne vairāk kā 1 860 669 </w:t>
      </w:r>
      <w:r w:rsidR="00000000" w:rsidRPr="00000000" w:rsidDel="00000000">
        <w:rPr>
          <w:i w:val="1"/>
          <w:rtl w:val="0"/>
        </w:rPr>
        <w:t xml:space="preserve">euro</w:t>
      </w:r>
      <w:r w:rsidR="00000000" w:rsidRPr="00000000" w:rsidDel="00000000">
        <w:rPr>
          <w:rtl w:val="0"/>
        </w:rPr>
        <w:t xml:space="preserve">, tai skaitā Eiropas Sociālā fonda Plus finansējumu – 1 581 568 </w:t>
      </w:r>
      <w:r w:rsidR="00000000" w:rsidRPr="00000000" w:rsidDel="00000000">
        <w:rPr>
          <w:i w:val="1"/>
          <w:rtl w:val="0"/>
        </w:rPr>
        <w:t xml:space="preserve">euro</w:t>
      </w:r>
      <w:r w:rsidR="00000000" w:rsidRPr="00000000" w:rsidDel="00000000">
        <w:rPr>
          <w:rtl w:val="0"/>
        </w:rPr>
        <w:t xml:space="preserve"> un valsts budžeta līdzfinansējumu – 279 101 </w:t>
      </w:r>
      <w:r w:rsidR="00000000" w:rsidRPr="00000000" w:rsidDel="00000000">
        <w:rPr>
          <w:i w:val="1"/>
          <w:rtl w:val="0"/>
        </w:rPr>
        <w:t xml:space="preserve">euro</w:t>
      </w:r>
      <w:r w:rsidR="00000000" w:rsidRPr="00000000" w:rsidDel="00000000">
        <w:rPr>
          <w:rtl w:val="0"/>
        </w:rPr>
        <w:t xml:space="preserve">. Ja attiecīgajā projektu iesniegumu atlasē neapstiprina projektu iesniegumus par visu projektu iesniegumu atlases kārtai pieejamo kopējo attiecināmo finansējumu, finansējuma atlikums tiek pārplānots nākamajām projektu iesniegumu atlases kārtām. Sadarbības iestāde saskaņo ar atbildīgo iestādi katrai nākamajai projektu iesniegumu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Šo noteikumu 18.1. apakšpunktā minētās tiešās attiecināmās personāla izmaksas ietver finansējuma saņēmēja projekta vadības un īstenošanas personāla atlīdzības izmaksas, kas radušās uz darba tiesisko attiecību vai iepirkumu līguma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25.4.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w:t>
      </w:r>
      <w:r w:rsidR="00000000" w:rsidRPr="00000000" w:rsidDel="00000000">
        <w:rPr>
          <w:vertAlign w:val="superscript"/>
          <w:rtl w:val="0"/>
        </w:rPr>
        <w:t xml:space="preserve">1</w:t>
      </w:r>
      <w:r w:rsidR="00000000" w:rsidRPr="00000000" w:rsidDel="00000000">
        <w:rPr>
          <w:rtl w:val="0"/>
        </w:rPr>
        <w:t xml:space="preserve"> nodibina darba tiesiskās attiecības ar projekta vadības un īstenošanas personālu vai piesaista pakalpojumu sniedzēju šo noteikumu 25.5. apakšpunktā minētajā kārtībā.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 nodrošina, ka šajos noteikumos paredzētās atbalstāmās darbības un projektā sniegtais atbalsts šo noteikumu 3. punktā minētās mērķa grupas personām netiek finansēts, kā arī to nav plānots finansēt no citiem valsts, pašvaldības vai ārvalstu finanšu atbalsta instrumentiem, un nodrošina dubultā finansējuma neiestāšanos;".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25-TA-819</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25-TA-819</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noteikumu_(grozījumu)_projekts_25-TA-819.docx</dc:title>
</cp:coreProperties>
</file>

<file path=docProps/custom.xml><?xml version="1.0" encoding="utf-8"?>
<Properties xmlns="http://schemas.openxmlformats.org/officeDocument/2006/custom-properties" xmlns:vt="http://schemas.openxmlformats.org/officeDocument/2006/docPropsVTypes"/>
</file>