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Kredītu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Kredītu reģistra likumā (Latvijas Vēstnesis, 2012, 92. nr.; 2013, 187. nr.; 2014, 26., 214. nr.; 2017, 41. nr.; 2018, 3. nr.; 2020, 29. nr.; 2021, 110., 193.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11. pantu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Vērtspapīrošanas gadījumā šā likuma 8. panta pirmās daļas 1. un 2. punktā minētās ziņas, kas attiecas uz vērtspapīrošanas sabiedrības aktīviem, reģistrā iekļauj vērtspapīrošanas darījumā vai shēmā iesaistītais reģistra dalībnieks vai ierobežots reģistra dalībnieks, ja viņš turpina apkalpot šos vērtspapīrošanas sabiedrības aktīvus. Ja vērtspapīrošanas sabiedrības aktīvus apkalpo persona, kas neatbilst šā likuma 1. panta 2. vai 3. punktam, attiecīgās ziņas reģistrā iekļauj vērtspapīrošanas sabiedrība, ja tā ir reģistra dalībnieks vai ierobežots reģistra dalībnieks."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Vērtspapīrošanas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23-TA-466</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23-TA-466</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likumprojekts_(grozījumi)_23-TA-466.docx</dc:title>
</cp:coreProperties>
</file>

<file path=docProps/custom.xml><?xml version="1.0" encoding="utf-8"?>
<Properties xmlns="http://schemas.openxmlformats.org/officeDocument/2006/custom-properties" xmlns:vt="http://schemas.openxmlformats.org/officeDocument/2006/docPropsVTypes"/>
</file>