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17. janvārī (prot. Nr. 3 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2021. gada 7. septembra noteikumos Nr. 606 "Ministru kabineta kārtības rullis"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Ministru kabineta iekārtas likuma</w:t>
      </w:r>
      <w:r>
        <w:br/>
      </w:r>
      <w:r w:rsidR="00000000" w:rsidRPr="00000000" w:rsidDel="00000000">
        <w:rPr>
          <w:rStyle w:val="paragraph"/>
          <w:i w:val="1"/>
          <w:rtl w:val="0"/>
        </w:rPr>
        <w:t xml:space="preserve">15. panta trešo un piekto daļu, 22. panta pirmo un otro daļu,</w:t>
      </w:r>
      <w:r>
        <w:br/>
      </w:r>
      <w:r w:rsidR="00000000" w:rsidRPr="00000000" w:rsidDel="00000000">
        <w:rPr>
          <w:rStyle w:val="paragraph"/>
          <w:i w:val="1"/>
          <w:rtl w:val="0"/>
        </w:rPr>
        <w:t xml:space="preserve">27. panta otro daļu, 28. panta sesto daļu un 29. panta otro daļu un</w:t>
      </w:r>
      <w:r>
        <w:br/>
      </w:r>
      <w:r w:rsidR="00000000" w:rsidRPr="00000000" w:rsidDel="00000000">
        <w:rPr>
          <w:rStyle w:val="paragraph"/>
          <w:i w:val="1"/>
          <w:rtl w:val="0"/>
        </w:rPr>
        <w:t xml:space="preserve">Attīstības plānošanas sistēmas likuma</w:t>
      </w:r>
      <w:r w:rsidR="00000000" w:rsidRPr="00000000" w:rsidDel="00000000">
        <w:rPr>
          <w:rStyle w:val="paragraph"/>
          <w:i w:val="1"/>
          <w:rtl w:val="0"/>
        </w:rPr>
        <w:t xml:space="preserve"> 11. panta 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7. septembra noteikumos Nr. 606 "Ministru kabineta kārtības rullis" (Latvijas Vēstnesis, 2021, 173A.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202.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"202.</w:t>
      </w:r>
      <w:r w:rsidR="00000000" w:rsidRPr="00000000" w:rsidDel="00000000">
        <w:rPr>
          <w:vertAlign w:val="superscript"/>
          <w:rtl w:val="0"/>
        </w:rPr>
        <w:t xml:space="preserve">1</w:t>
      </w:r>
      <w:r w:rsidR="00000000" w:rsidRPr="00000000" w:rsidDel="00000000">
        <w:rPr>
          <w:rtl w:val="0"/>
        </w:rPr>
        <w:t xml:space="preserve"> Ministru prezidents ar rīkojumu var izveidot Ministru kabineta tematisko komiteju, lai nodrošinātu sistemātisku un plānotu darbu noteiktā jomā, kā arī koordinētu un risinātu dažādus starpnozaru jautājumus. Rīkojumā nosaka apspriežamo jomu un veicamos uzdevumus. Ministru kabineta tematiskā komiteja darbojas līdz konkrētā Ministru kabineta darbības laika beigām vai līdz noteikto uzdevumu pilnīgai izpildei."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vietā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22-TA-3006</w:t>
    </w:r>
    <w:r>
      <w:br/>
    </w:r>
    <w:r w:rsidR="00000000" w:rsidRPr="00000000" w:rsidDel="00000000">
      <w:rPr>
        <w:rtl w:val="0"/>
      </w:rPr>
      <w:t xml:space="preserve">Izdrukāts 29.07.2026. 22.45 - 1.0.VK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22-TA-3006</w:t>
    </w:r>
    <w:r>
      <w:br/>
    </w:r>
    <w:r w:rsidR="00000000" w:rsidRPr="00000000" w:rsidDel="00000000">
      <w:rPr>
        <w:rtl w:val="0"/>
      </w:rPr>
      <w:t xml:space="preserve">Izdrukāts 29.07.2026. 22.45 - 1.0.VK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noteikumu_(grozījumu)_projekts_22-TA-3006.docx</dc:title>
</cp:coreProperties>
</file>

<file path=docProps/custom.xml><?xml version="1.0" encoding="utf-8"?>
<Properties xmlns="http://schemas.openxmlformats.org/officeDocument/2006/custom-properties" xmlns:vt="http://schemas.openxmlformats.org/officeDocument/2006/docPropsVTypes"/>
</file>