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pasākumu "Infrastruktūras izveide starpnozaru sadarbības un atbalsta sistēmas izveidei bērnu attīstībai"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izveidot infrastruktūru multiprofesionālās bērnu attīstības speciālistu komandas (turpmāk – multiprofesionālā komanda) darbam, sekmējot starpnozaru sadarbības un atbalsta sistēmas ieviešanu bērniem ar attīstības riskiem.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bērni ar attīstības grūtībām, attīstības nepietiekamību vai tās veidošanās risku vecumā līdz 18 gadiem.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sasniedzams 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atbildīgās iestādes funkcijas pilda Valsts kanceleja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pieejamais kopējais attiecināmais finansējums ir 4 350 000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3 697 500 </w:t>
      </w:r>
      <w:r w:rsidR="00000000" w:rsidRPr="00000000" w:rsidDel="00000000">
        <w:rPr>
          <w:i w:val="1"/>
          <w:rtl w:val="0"/>
        </w:rPr>
        <w:t xml:space="preserve">euro </w:t>
      </w:r>
      <w:r w:rsidR="00000000" w:rsidRPr="00000000" w:rsidDel="00000000">
        <w:rPr>
          <w:rtl w:val="0"/>
        </w:rPr>
        <w:t xml:space="preserve">un valsts budžeta līdzfinansējums – 652 500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projektam pieejamā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budžeta līdzfinansējums ir 15 procenti no projektam pieejamā kopējā attiecināmā finansējuma.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sākot ar 2025. gada 1. septembri. Izmaksas par darbībām, kas pabeigtas pirms projekta iesnieguma iesniegšanas sadarbības iestādē, nav attiecināmas.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Valsts kancelejas Pārresoru koordinācijas departaments.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projekta iesnieguma apstiprināšanas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projekta iesniedzējs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šajos noteikumos un projektu iesniegumu atlases nolikumā norādītajām prasībām un uzaicinājumā noteiktajā termiņā iesniedz to sadarbības iestādē, izmantojot Kohēzijas politikas fondu vadības informācijas sistēmas elektronisko vidi. Projekta iesniedzējs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saņēmēja sadarbības partneri ir Bērnu klīniskā universitātes slimnīca, kas sniedz metodisko atbalstu un piedalās projekta uzraudzībā tā kvalitatīvai īstenošanai, kā arī var tikt piesaistīta konkrētas darbības vai tās daļas veikšanai, valsts un pašvaldības ārstniecības iestādes, kuru telpās tiks nodrošināts multiprofesionālo komandu darbs, un pašvaldības, kuru teritorijās darbojas minētās ārstniecības iestādes (turpmāk – sadarbības partneris).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ar sadarbības partneri slēdz sadarbības līgumu. Ja uz projekta iesnieguma iesniegšanas dienu sadarbības līgums nav noslēgts, projekta iesniegumam pievieno finansējuma saņēmēja un sadarbības partnera noslēgtu nodomu protokolu. Sadarbības līgumā iekļauj informāciju atbilstoši normatīvajiem aktiem par kārtību, kādā Eiropas Savienības fondu vadībā iesaistītās institūcijas nodrošina šo fondu ieviešanu 2021.–2027. gada plānošanas periodā, un vismaz šādu informāciju par sadarbības partnera pienākumiem: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to apjoms, kā arī finansēšanas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un citas informācijas iesniegšanas kārtība un termiņi;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nepieciešamā infrastruktūras objekta, telpu vai teritorijas (kas atrodas īpašumā vai ilgtermiņa nomā) izvēle;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dalība projektēšanā, nepieciešamo atļauju saņemšanā un pārbūves vai atjaunošanas darbu norises uzraudzībā, kā arī visu citu ar projekta mērķa sasniegšanu saistīto darbību veikšana (ja attiecināms).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 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ir atbalstāmas šādas darbības multiprofesionālo komandu darba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izstrāde (izņemot projekta iesnieguma izstrādi), kas ietver būvniecības ieceres dokumentācijas izstrādes, būvprojekta, tai skaitā paskaidrojuma raksta pielikumu, izstrādes, tehniskās apsekošanas atzinumu un būvekspertīzes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esošo būvju un telpu pārbūve vai atjaunošana, jaunu būvju būvniecība (ja attiecināms), tai skaitā būvuzraudzība, autoruzraudzība, inženiertīklu un komunikācijas tīklu būvniecība, pārbūve vai atjaunošana, teritorijas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energosertifikācija un energoaudits;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materiāltehniskā nodrošinājuma iegāde, piegāde un montāža;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mobilitātes nodrošināšanai nepieciešamo autotransporta pakalpojumu nodrošināšana, tai skaitā noma vai autotransporta iegāde un uzturēšana, kā arī uzlādes iekārtas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piekļūstamības ekspertu konsultācijas;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kas ir šo noteikumu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18.1.2.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kā arī sadarbības partnera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tiešās attiecināmās īstenošanas izmaksas, kas ir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 </w:t>
      </w:r>
      <w:r w:rsidR="00000000" w:rsidRPr="00000000" w:rsidDel="00000000">
        <w:rPr>
          <w:rtl w:val="0"/>
        </w:rPr>
        <w:t xml:space="preserve">apakšpunktā</w:t>
      </w:r>
      <w:r w:rsidR="00000000" w:rsidRPr="00000000" w:rsidDel="00000000">
        <w:rPr>
          <w:rtl w:val="0"/>
        </w:rPr>
        <w:t xml:space="preserve"> minēto darbību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īstenošanai (izņemot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minēto būvuzraudzību un šo noteikumu </w:t>
      </w:r>
      <w:r w:rsidR="00000000" w:rsidRPr="00000000" w:rsidDel="00000000">
        <w:rPr>
          <w:rtl w:val="0"/>
        </w:rPr>
        <w:t xml:space="preserve">17.7. </w:t>
      </w:r>
      <w:r w:rsidR="00000000" w:rsidRPr="00000000" w:rsidDel="00000000">
        <w:rPr>
          <w:rtl w:val="0"/>
        </w:rPr>
        <w:t xml:space="preserve">apakšpunktā</w:t>
      </w:r>
      <w:r w:rsidR="00000000" w:rsidRPr="00000000" w:rsidDel="00000000">
        <w:rPr>
          <w:rtl w:val="0"/>
        </w:rPr>
        <w:t xml:space="preserve"> minēto komunikācijas un vizuālās identitātes prasību nodrošināšanu – šīs darbības ir saistītas ar projekta vadības un īstenošanas atlīdzības izmaksām un var tikt attiecinātas arī kā projekta tiešās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sadarbības partnera projekta vadības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normatīvajos aktos noteiktās izmaksas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nodrošināšanai (piemēram, maksa par būvatļauju saņemšanu, būvju nodošanu ekspluatācijā), kuras var veikt bez iepirkuma līguma (piemēram, pamatojoties uz izrakstīto rēķinu).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7 procentu apmērā no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projektu, finansējuma saņēmējs un sadarbības partneris nodrošina, lai ar projekta īstenošanu saistītās funkcijas tiktu nodalītas no pamatfunkcijām un saimnieciskās darbības, un nodrošina atsevišķu ieņēmumu un izdevumu grāmatvedības uzskaiti, kā arī darbību un ar to īstenošanu saistīto finanšu plūsmu nodalīšanu.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partneris iesaistās projekta īstenošanā ar saviem resursiem, tai skaitā ar tā īpašumā, valdījumā, turējumā vai lietojumā esošo nekustamo īpašumu (tiesību prasībai jābūt nostiprinātai zemesgrāmatā), kā arī nodrošina pārskatu un citas informācijas iesniegšanu atbilstoši sadarbības līgumā noteiktajai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Sadarbības partneris nodrošina, ka nekustamie īpašumi, kuri nepieciešami projekta īstenošanai, projekta īstenošanas laikā ir sadarbības partnera,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finansējuma saņēmējam vai sadarbības partnerim ir nepieciešams piesaistīt pakalpojumu sniedzējus, iepirkuma līgumos, kurus slēdz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īstenošanai, avansa maksājumus var paredzēt ne vairāk kā 20 procentu apmērā (nepiemērojot Ministru kabineta 2016. gada 20. septembra instrukciju Nr. 3 "Ārvalstu finanšu instrumentu finansētu civiltiesisku līgumu izstrādes un slēgšanas instrukcija valsts tiešās pārvaldes iestādēs") no attiecīgā iepirkumu līguma summas (neieskaitot pievienotās vērtības nodokli).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 iekšējās kontroles sistēmu korupcijas un interešu konflikta riska novēršanai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šajos noteikumos minētās atbalstāmās darbības un projektā sniegto atbalstu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mērķa grupas personām nefinansē, kā arī to nav plānots finansēt no citiem valsts, pašvaldības vai ārvalstu finanšu atbalsta instrumentiem, un novērš dubultā finansējuma iestāšanās risku;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nodibina darba tiesiskās attiecības ar projekta vadības un īstenošanas personālu vai piesaista pakalpojumu sniedzēju šo noteikumu </w:t>
      </w:r>
      <w:r w:rsidR="00000000" w:rsidRPr="00000000" w:rsidDel="00000000">
        <w:rPr>
          <w:rtl w:val="0"/>
        </w:rPr>
        <w:t xml:space="preserve">18.1.1.</w:t>
      </w:r>
      <w:r w:rsidR="00000000" w:rsidRPr="00000000" w:rsidDel="00000000">
        <w:rPr>
          <w:rtl w:val="0"/>
        </w:rPr>
        <w:t xml:space="preserve"> vai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minētajā kārtībā. Ja tiek dibinātas darba tiesiskās attiecības, paredzot atlīdzības izmaksas, personālu nodarbina normālu vai nepilnu darba laiku, tai skaitā atlīdzībai var piemērot daļlaika izmaksu attiecināmības principu. Ja projekta vadības un īstenošanas personāla atlīdzībai piemēro daļlaika izmaksu attiecināmības principu, veic projekta vadības un īstenošanas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veikšanai nepieciešamo personālu, nodrošina, ka projekta īstenošanas laikā ir ievēroti interešu konflikta, korupcijas un krāpšanas novēršanas nosacījumi, vismaz paredzot, ka projekta vadībā un īstenošanā iesaistītie darbinieki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 pienākumu ziņot par konstatētajām aizdomām, kā arī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neesību saskaņā ar publisko iepirkumu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savā tīmekļvietnē (ja tāda ir) un sociālajos tīklos ievieto informāciju par projekta īstenošanu un aktualizē to, tiklīdz pieejama jaunāka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 sociāli atbildīgus, inovatīvus un zaļos publiskos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neplāno atbalstu tādām darbībām, kurām atbalsts atbilstoši Komercdarbības atbalsta kontroles likuma 5. pantam būtu kvalificējams kā komercdarbības atbalsts. Ja ieguldījumu īstenošanas un amortizācijas periodā tiek konstatēts, ka sniegtais atbalsts ir kvalificējams kā komercdarbības atbalsts, finansējuma saņēmējs atmaksā sadarbības iestādei nelikumīgo atbalstu kopā ar procentiem no līdzekļiem, kas ir brīvi no komercdarbības atbalsta, saskaņā ar Komercdarbības atbalsta kontroles likuma IV vai V nodaļu;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sasniegto rezultātu ilgtspēju saskaņā ar sadarbības līguma nosacījumiem, ka projekta ietvaros izveidotajās un iekārtotajās telpās vismaz piecus gadus pēc projekta pabeigšanas tiek nodrošināts multiprofesionālo komandu darbs;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sadarbības partneri nodrošina rezultātu uzturēšanu un to, ka projekta ietvaros izveidotā multiprofesionālo komandu pakalpojumu sniegšanas infrastruktūra vismaz piecus gadus pēc noslēguma maksājuma veikšanas tiek izmantota tikai pakalpojumu sniegšanai šo noteikumu 3. punktā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pasākuma ietvaros izveidotajā multiprofesionālo komandu pakalpojumu sniegšanas infrastruktūrā projekta īstenošanas laikā, šo noteikumu </w:t>
      </w:r>
      <w:r w:rsidR="00000000" w:rsidRPr="00000000" w:rsidDel="00000000">
        <w:rPr>
          <w:rtl w:val="0"/>
        </w:rPr>
        <w:t xml:space="preserve">26.10. </w:t>
      </w:r>
      <w:r w:rsidR="00000000" w:rsidRPr="00000000" w:rsidDel="00000000">
        <w:rPr>
          <w:rtl w:val="0"/>
        </w:rPr>
        <w:t xml:space="preserve">apakšpunktā</w:t>
      </w:r>
      <w:r w:rsidR="00000000" w:rsidRPr="00000000" w:rsidDel="00000000">
        <w:rPr>
          <w:rtl w:val="0"/>
        </w:rPr>
        <w:t xml:space="preserve"> minētajā laikposmā un ieguldījumu amortizācijas periodā netiek veikta saimnieciskā darbība;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informē sadarbības iestādi par plānotajām izmaiņām, ja ieguldījumu amortizācijas periodā paredzēts mainīt multiprofesionālo komandu pakalpojumu sniegšanas infrastruktūras izmantošanas nosacījumus un tā rezultātā projekta darbības būs saistītas ar saimniecisko darbību, kurai sniegtais atbalsts būtu kvalificējams kā komercdarbības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īstenošanu un uzkrāj datus par rādītāju "Objektu, kuros ir nodrošināta vides un informācijas piekļūstamība, skaits". Finansējuma saņēmējam ir pienākums sniegt minēto informāciju, iesniedzot noslēguma maksājuma pieprasījumu par visu projekta periodu;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ievēro šādus horizontālos principus un uzkrāj datus par projekta ietekmi uz tiem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25-TA-2273</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25-TA-2273</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noteikumu_projekts_25-TA-2273.docx</dc:title>
</cp:coreProperties>
</file>

<file path=docProps/custom.xml><?xml version="1.0" encoding="utf-8"?>
<Properties xmlns="http://schemas.openxmlformats.org/officeDocument/2006/custom-properties" xmlns:vt="http://schemas.openxmlformats.org/officeDocument/2006/docPropsVTypes"/>
</file>