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Eiropas Savienības kohēzijas politikas programmas 2021.–2027. gadam 2.2.2. specifiskā atbalsta mērķa "Pārejas uz aprites ekonomiku veicināšana" 2.2.2.3. pasākuma "Notekūdeņu dūņu pārstrāde"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fondu 2021.–2027. gada plānošanas perioda vadības likuma 19. panta 13. punktu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w:t>
      </w:r>
      <w:r w:rsidR="00000000" w:rsidRPr="00000000" w:rsidDel="00000000">
        <w:rPr>
          <w:rtl w:val="0"/>
        </w:rPr>
        <w:t xml:space="preserve"> </w:t>
      </w:r>
      <w:r w:rsidR="00000000" w:rsidRPr="00000000" w:rsidDel="00000000">
        <w:rPr>
          <w:rStyle w:val="paragraph_heade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kārtību, kādā īsteno Eiropas Savienības kohēzijas politikas programmas 2021.–2027. gadam 2.2.2. specifiskā atbalsta mērķa "Pārejas uz aprites ekonomiku veicināšana" 2.2.2.3. pasākumu "Notekūdeņu dūņu pārstrāde" (turpmāk – pasākums), tajā skaitā: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pasākuma mērķi;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pasākumam plānoto un kopējo pieejamo finansējumu;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prasības projekta iesniedzējam;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atbalstāmo darbību un izmaksu attiecināmības nosacījumus, tostarp komercdarbības atbalsta piešķiršanas nosacījumus.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mērķis ir veicināt notekūdeņu attīrīšanas rezultātā radušos notekūdeņu dūņu pārstrādi un reģenerāciju, nodrošinot tehnoloģisko risinājumu ieviešanu notekūdeņu dūņu kā biogēno elementu pārstrādei, kā arī sekmējot vides un cilvēku veselības aizsardzību un ilgtspējīgu resursu izmantošanu.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Līdz 2029. gada 31. decembrim pasākuma ietvaros sasniedzamie projektu uzraudzības rādītāji un to vērtības: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iznākuma rādītājs – papildu jauda atkritumu pārstrādei. Iznākuma rādītāja vērtība tiek sasniegta, ja pasākuma projektu ietvaros veikti ieguldījumi notekūdeņu dūņu pārstrādes iekārtu izveidē, nodrošinot papildu atkritumu pārstrādes iekārtu jaudu – 20 000 tonnas gadā;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iznākuma rādītājs – atbalstītie uzņēmumi (mazie, vidējie un lielie). Iznākuma rādītāja vērtība tiek sasniegta, ja pasākuma projektu ietvaros veikti ieguldījumi, nodrošinot atbalstu vismaz trim uzņēmumiem;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rezultāta rādītājs – pārstrādāto atkritumu (notekūdeņu dūņu) apjoms. Rezultāta rādītāja vērtība tiek sasniegta, ja pasākuma projektu ietvaros veikti ieguldījumi notekūdeņu dūņu pārstrādes iekārtu izveidē atbilstoši šo noteikumu </w:t>
      </w:r>
      <w:r w:rsidR="00000000" w:rsidRPr="00000000" w:rsidDel="00000000">
        <w:rPr>
          <w:rtl w:val="0"/>
        </w:rPr>
        <w:t xml:space="preserve">3.1.</w:t>
      </w:r>
      <w:r w:rsidR="00000000" w:rsidRPr="00000000" w:rsidDel="00000000">
        <w:rPr>
          <w:rtl w:val="0"/>
        </w:rPr>
        <w:t xml:space="preserve"> apakšpunktam, sasniedzot pārstrādāto atkritumu apjomu – 68 000 tonnas gadā.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Pasākuma ietvaros projektu iesniegumu atlasi īsteno atklātas projektu iesniegumu atlases veidā, ievērojot katram plānošanas reģionam šo noteikumu </w:t>
      </w:r>
      <w:r w:rsidR="00000000" w:rsidRPr="00000000" w:rsidDel="00000000">
        <w:rPr>
          <w:rtl w:val="0"/>
        </w:rPr>
        <w:t xml:space="preserve">11.</w:t>
      </w:r>
      <w:r w:rsidR="00000000" w:rsidRPr="00000000" w:rsidDel="00000000">
        <w:rPr>
          <w:rtl w:val="0"/>
        </w:rPr>
        <w:t xml:space="preserve"> punktā noteikto Kohēzijas fonda finansējuma apmēru.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Pasākuma ietvaros atbildīgās iestādes funkcijas pilda Klimata un enerģētikas ministrija.</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w:t>
      </w:r>
      <w:r w:rsidR="00000000" w:rsidRPr="00000000" w:rsidDel="00000000">
        <w:rPr>
          <w:rtl w:val="0"/>
        </w:rPr>
        <w:t xml:space="preserve"> </w:t>
      </w:r>
      <w:r w:rsidR="00000000" w:rsidRPr="00000000" w:rsidDel="00000000">
        <w:rPr>
          <w:rStyle w:val="paragraph_header"/>
          <w:b w:val="1"/>
          <w:rtl w:val="0"/>
        </w:rPr>
        <w:t xml:space="preserve">Pasākumam pieejamais finansējums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Pasākuma ietvaros plānotais kopējais attiecināmais finansējums ir 27 233 743 </w:t>
      </w:r>
      <w:r w:rsidR="00000000" w:rsidRPr="00000000" w:rsidDel="00000000">
        <w:rPr>
          <w:i w:val="1"/>
          <w:rtl w:val="0"/>
        </w:rPr>
        <w:t xml:space="preserve">euro</w:t>
      </w:r>
      <w:r w:rsidR="00000000" w:rsidRPr="00000000" w:rsidDel="00000000">
        <w:rPr>
          <w:rtl w:val="0"/>
        </w:rPr>
        <w:t xml:space="preserve"> (tajā skaitā elastības finansējums- 18 999 171 </w:t>
      </w:r>
      <w:r w:rsidR="00000000" w:rsidRPr="00000000" w:rsidDel="00000000">
        <w:rPr>
          <w:i w:val="1"/>
          <w:rtl w:val="0"/>
        </w:rPr>
        <w:t xml:space="preserve">euro</w:t>
      </w:r>
      <w:r w:rsidR="00000000" w:rsidRPr="00000000" w:rsidDel="00000000">
        <w:rPr>
          <w:rtl w:val="0"/>
        </w:rPr>
        <w:t xml:space="preserve">), tajā skaitā Kohēzijas fonda finansējums – 23 148 681 </w:t>
      </w:r>
      <w:r w:rsidR="00000000" w:rsidRPr="00000000" w:rsidDel="00000000">
        <w:rPr>
          <w:i w:val="1"/>
          <w:rtl w:val="0"/>
        </w:rPr>
        <w:t xml:space="preserve">euro</w:t>
      </w:r>
      <w:r w:rsidR="00000000" w:rsidRPr="00000000" w:rsidDel="00000000">
        <w:rPr>
          <w:rtl w:val="0"/>
        </w:rPr>
        <w:t xml:space="preserve"> (tajā skaitā elastības finansējums- 16 149 296 </w:t>
      </w:r>
      <w:r w:rsidR="00000000" w:rsidRPr="00000000" w:rsidDel="00000000">
        <w:rPr>
          <w:i w:val="1"/>
          <w:rtl w:val="0"/>
        </w:rPr>
        <w:t xml:space="preserve">euro</w:t>
      </w:r>
      <w:r w:rsidR="00000000" w:rsidRPr="00000000" w:rsidDel="00000000">
        <w:rPr>
          <w:rtl w:val="0"/>
        </w:rPr>
        <w:t xml:space="preserve">), un nacionālais līdzfinansējums, ko veido privātais līdzfinansējums, ne mazāk kā 4 085 062 </w:t>
      </w:r>
      <w:r w:rsidR="00000000" w:rsidRPr="00000000" w:rsidDel="00000000">
        <w:rPr>
          <w:i w:val="1"/>
          <w:rtl w:val="0"/>
        </w:rPr>
        <w:t xml:space="preserve">euro</w:t>
      </w:r>
      <w:r w:rsidR="00000000" w:rsidRPr="00000000" w:rsidDel="00000000">
        <w:rPr>
          <w:rtl w:val="0"/>
        </w:rPr>
        <w:t xml:space="preserve"> (tajā skaitā elastības finansējums- 2 849 875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Pasākuma ietvaros pieejamais kopējais attiecināmais finansējums ir 8 234 572 </w:t>
      </w:r>
      <w:r w:rsidR="00000000" w:rsidRPr="00000000" w:rsidDel="00000000">
        <w:rPr>
          <w:i w:val="1"/>
          <w:rtl w:val="0"/>
        </w:rPr>
        <w:t xml:space="preserve">euro</w:t>
      </w:r>
      <w:r w:rsidR="00000000" w:rsidRPr="00000000" w:rsidDel="00000000">
        <w:rPr>
          <w:rtl w:val="0"/>
        </w:rPr>
        <w:t xml:space="preserve">, tajā skaitā Kohēzijas fonda finansējums – 6 999 385 </w:t>
      </w:r>
      <w:r w:rsidR="00000000" w:rsidRPr="00000000" w:rsidDel="00000000">
        <w:rPr>
          <w:i w:val="1"/>
          <w:rtl w:val="0"/>
        </w:rPr>
        <w:t xml:space="preserve">euro</w:t>
      </w:r>
      <w:r w:rsidR="00000000" w:rsidRPr="00000000" w:rsidDel="00000000">
        <w:rPr>
          <w:rtl w:val="0"/>
        </w:rPr>
        <w:t xml:space="preserve">, un nacionālais līdzfinansējums, ko veido privātais līdzfinansējums – 1 235 187</w:t>
      </w:r>
      <w:r w:rsidR="00000000" w:rsidRPr="00000000" w:rsidDel="00000000">
        <w:rPr>
          <w:i w:val="1"/>
          <w:rtl w:val="0"/>
        </w:rPr>
        <w:t xml:space="preserve"> euro</w:t>
      </w:r>
      <w:r w:rsidR="00000000" w:rsidRPr="00000000" w:rsidDel="00000000">
        <w:rPr>
          <w:rtl w:val="0"/>
        </w:rPr>
        <w:t xml:space="preserve">. </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Kohēzijas fonda finansējumu piešķir granta veidā.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Maksimālais attiecināmais Kohēzijas fonda finansējums projektā ir 85 procenti no projekta kopējā attiecināmā finansējuma, ja projektā plānots </w:t>
      </w:r>
      <w:r w:rsidR="00000000" w:rsidRPr="00000000" w:rsidDel="00000000">
        <w:rPr>
          <w:i w:val="1"/>
          <w:rtl w:val="0"/>
        </w:rPr>
        <w:t xml:space="preserve">de minimis</w:t>
      </w:r>
      <w:r w:rsidR="00000000" w:rsidRPr="00000000" w:rsidDel="00000000">
        <w:rPr>
          <w:rtl w:val="0"/>
        </w:rPr>
        <w:t xml:space="preserve"> atbalsts, vienlaikus ievērojot šo noteikumu </w:t>
      </w:r>
      <w:r w:rsidR="00000000" w:rsidRPr="00000000" w:rsidDel="00000000">
        <w:rPr>
          <w:rtl w:val="0"/>
        </w:rPr>
        <w:t xml:space="preserve">34.</w:t>
      </w:r>
      <w:r w:rsidR="00000000" w:rsidRPr="00000000" w:rsidDel="00000000">
        <w:rPr>
          <w:rtl w:val="0"/>
        </w:rPr>
        <w:t xml:space="preserve"> un </w:t>
      </w:r>
      <w:r w:rsidR="00000000" w:rsidRPr="00000000" w:rsidDel="00000000">
        <w:rPr>
          <w:rtl w:val="0"/>
        </w:rPr>
        <w:t xml:space="preserve">38.</w:t>
      </w:r>
      <w:r w:rsidR="00000000" w:rsidRPr="00000000" w:rsidDel="00000000">
        <w:rPr>
          <w:rtl w:val="0"/>
        </w:rPr>
        <w:t xml:space="preserve"> punkta nosacījumus.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Projekta minimālā attiecināmo izmaksu kopsumma nav ierobežota. Projekta  maksimālais Kohēzijas fonda finansējums ir 2 000 000 </w:t>
      </w:r>
      <w:r w:rsidR="00000000" w:rsidRPr="00000000" w:rsidDel="00000000">
        <w:rPr>
          <w:i w:val="1"/>
          <w:rtl w:val="0"/>
        </w:rPr>
        <w:t xml:space="preserve">euro.</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Pasākuma ietvaros maksimālais pieejamais Kohēzijas fonda atbalsta apmērs sadalījumā pa plānošanas reģioniem ir:</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Rīgas plānošanas reģionam- 4 629 737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Latgales plānošanas reģionam- 4 629 736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Vidzemes plānošanas reģionam- 4 629 736 </w:t>
      </w:r>
      <w:r w:rsidR="00000000" w:rsidRPr="00000000" w:rsidDel="00000000">
        <w:rPr>
          <w:i w:val="1"/>
          <w:rtl w:val="0"/>
        </w:rPr>
        <w:t xml:space="preserve">euro;</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Kurzemes plānošanas reģionam- 4 629 736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Zemgales plānošanas reģionam- 4 629 736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Pasākuma ietvaros projekta iesniedzējs var iesniegt ne vairāk kā vienu projekta iesniegumu šo noteikumu </w:t>
      </w:r>
      <w:r w:rsidR="00000000" w:rsidRPr="00000000" w:rsidDel="00000000">
        <w:rPr>
          <w:rtl w:val="0"/>
        </w:rPr>
        <w:t xml:space="preserve">11.</w:t>
      </w:r>
      <w:r w:rsidR="00000000" w:rsidRPr="00000000" w:rsidDel="00000000">
        <w:rPr>
          <w:rtl w:val="0"/>
        </w:rPr>
        <w:t xml:space="preserve"> punktā noteiktā pieejamā finansējuma ietvaros. Šo noteikumu </w:t>
      </w:r>
      <w:r w:rsidR="00000000" w:rsidRPr="00000000" w:rsidDel="00000000">
        <w:rPr>
          <w:rtl w:val="0"/>
        </w:rPr>
        <w:t xml:space="preserve">15.</w:t>
      </w:r>
      <w:r w:rsidR="00000000" w:rsidRPr="00000000" w:rsidDel="00000000">
        <w:rPr>
          <w:rtl w:val="0"/>
        </w:rPr>
        <w:t xml:space="preserve"> punktā noteiktais projekta iesniedzējs projekta iesniegumu iesniedz plānošanas reģionā, kurā ir saņēmis pašvaldības deleģējumu nodrošināt notekūdeņu dūņu apsaimniekošanas funkcijas notekūdeņu dūņu apsaimniekošanas reģionālā centrā (turpmāk- Dūņu centrs).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Ja projektu iesniegumu atlasē netiek saņemti vai netiek atbalstīti projektu iesniegumi par visu šo noteikumu </w:t>
      </w:r>
      <w:r w:rsidR="00000000" w:rsidRPr="00000000" w:rsidDel="00000000">
        <w:rPr>
          <w:rtl w:val="0"/>
        </w:rPr>
        <w:t xml:space="preserve">11.</w:t>
      </w:r>
      <w:r w:rsidR="00000000" w:rsidRPr="00000000" w:rsidDel="00000000">
        <w:rPr>
          <w:rtl w:val="0"/>
        </w:rPr>
        <w:t xml:space="preserve"> punktā plānošanas reģionam noteikto Kohēzijas fonda finansējumu, atlikušo Kohēzijas fonda finansējumu novirza projektu iesniegumiem plānošanas reģionā, kurā atbalstīto projektu iesniegumu attiecināmo izmaksu summa pārsniedz plānošanas reģionam noteikto maksimālo pieejamo Kohēzijas fonda finansējumu un piešķir to projekta iesniegumam ar augstāko vērtēšanā saņemto punktu skaitu.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Ja pasākuma ietvaros netiek iztērēts viss Kohēzijas fonda finansējums, atbildīgā iestāde lemj par atlikušā Kohēzijas fonda finansējuma novirzīšanu nākamajai projektu iesniegumu atlases kārtai vai citam pasākumam.</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III.</w:t>
      </w:r>
      <w:r w:rsidR="00000000" w:rsidRPr="00000000" w:rsidDel="00000000">
        <w:rPr>
          <w:rtl w:val="0"/>
        </w:rPr>
        <w:t xml:space="preserve"> </w:t>
      </w:r>
      <w:r w:rsidR="00000000" w:rsidRPr="00000000" w:rsidDel="00000000">
        <w:rPr>
          <w:rStyle w:val="paragraph_header"/>
          <w:b w:val="1"/>
          <w:rtl w:val="0"/>
        </w:rPr>
        <w:t xml:space="preserve">Prasības projekta iesniedzējam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Projekta iesniedzējs, kas pēc projekta iesnieguma apstiprināšanas kļūst par finansējuma saņēmēju, ir sabiedrisko pakalpojumu sniedzējs, kuram ar pašvaldību ir noslēgts pakalpojuma līgums par notekūdeņu dūņu savākšanu, apstrādi un pārstrādi, un kurš saņēmis pašvaldības deleģējumu nodrošināt notekūdeņu dūņu apsaimniekošanas funkcijas Dūņu centrā. Projekta iesniedzēja darbība norit atbilstoši Saimniecisko darbību statistiskās klasifikācijas Eiropas Kopienā (turpmāk – NACE) 2.1. redakcijai un atbilst E sadaļas 37. un 38. nodaļai.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Pakalpojuma līgumā, kas minēts šo noteikumu </w:t>
      </w:r>
      <w:r w:rsidR="00000000" w:rsidRPr="00000000" w:rsidDel="00000000">
        <w:rPr>
          <w:rtl w:val="0"/>
        </w:rPr>
        <w:t xml:space="preserve">15.</w:t>
      </w:r>
      <w:r w:rsidR="00000000" w:rsidRPr="00000000" w:rsidDel="00000000">
        <w:rPr>
          <w:rtl w:val="0"/>
        </w:rPr>
        <w:t xml:space="preserve"> punktā, iekļauj vismaz šādu informāciju: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konkrētus sniedzamos notekūdeņu dūņu savākšanas, apstrādes un pārstrādes pakalpojumus;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prasības sabiedrisko pakalpojumu sniedzējam par nepieciešamā tehniskā aprīkojuma uzturēšanu un atjaunošanu, lai nodrošinātu šo noteikumu </w:t>
      </w:r>
      <w:r w:rsidR="00000000" w:rsidRPr="00000000" w:rsidDel="00000000">
        <w:rPr>
          <w:rtl w:val="0"/>
        </w:rPr>
        <w:t xml:space="preserve">16.1.</w:t>
      </w:r>
      <w:r w:rsidR="00000000" w:rsidRPr="00000000" w:rsidDel="00000000">
        <w:rPr>
          <w:rtl w:val="0"/>
        </w:rPr>
        <w:t xml:space="preserve"> apakšpunktā minēto pakalpojumu izpildi saskaņā ar katram konkrētajam pakalpojumam izvirzītajām prasībām;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līguma darbības laiku, kas nav īsāks par 20 gadiem;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notekūdeņu dūņu savākšanas, apstrādes un pārstrādes sniegšanas teritoriju;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notekūdeņu dūņu pieņemšanas kvalitatīvos rādītājus;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notekūdeņu dūņu pieņemšanas laiku, vietu un apjomu;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maksu par notekūdeņu dūņu savākšanas, apstrādes un pārstrādes pakalpojumu, t.sk notekūdeņu dūņu pieņemšanas tarifa aprēķina veidu un piemērošanas laiku;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ja attiecināms, informāciju par iespēju saņemt atlīdzības (kompensācijas) maksājumus – investīcijas sabiedrisko pakalpojumu sniegšanas infrastruktūrā – un nosacījumus atlīdzības (kompensācijas) maksājumu aprēķināšanai, kontrolei un pārskatīšanai, kā arī atlīdzības (kompensācijas) maksājumu pārmaksas novēršanai un atmaksāšanai;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ja attiecināms, atsauci uz Eiropas Komisijas 2011. gada 20. decembra lēmumu Nr. 2012/21/ES par Līguma par Eiropas Savienības darbību 106. panta  2. punkta piemērošanu valsts atbalstam attiecībā uz kompensāciju par sabiedriskajiem pakalpojumiem dažiem uzņēmumiem, kuriem uzticēts sniegt pakalpojumus ar vispārēju tautsaimniecisku nozīmi (turpmāk – Eiropas Komisijas lēmums Nr. 2012/21/ES).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Projekta iesniedzējs šo noteikumu izpratnē ir lielais, vidējais vai mazais (tai skaitā mikro) komersants. Mazais (tai skaitā mikro) un vidējais komersants šo noteikumu izpratnē ir komersants, kas atbilst Eiropas Komisijas 2014. gada 17. jūnija Regulas (ES) Nr. 651/2014, ar ko noteiktas atbalsta kategorijas atzīst par saderīgām ar iekšējo tirgu, piemērojot Līguma 107. un 108. pantu (turpmāk – Regula Nr. 651/2014), I pielikumam. Lielais komersants šo noteikumu izpratnē ir komersants, kas neatbilst Regulas Nr. 651/2014 I pielikumā noteiktajiem kritērijiem.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Projekta iesniedzējam ir īpašumtiesības uz nekustamo īpašumu, tajā skaitā uz zemi un infrastruktūru, kurā tiks veiktas projektā paredzētās darbības, vai tas ir noslēdzis ilgtermiņa nomas līgumu vai ir nodibinājis apbūves tiesības, ja tas atbilst projekta īstenošanas mērķiem un nodrošina saimnieciskās darbības turpināšanu, vai ir ieguvis īpašumtiesības uz iekārtām, kuras tiks uzstādītas projekta ietvaros, vai uz projekta ietvaros iegādāto transportlīdzekli.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Projekta iesniedzējam, kas ir grūtībās nonākušais uzņēmums, komercdarbības atbalsts netiek piešķirts, ja tas atbilst vismaz vienai no Komisijas 2014. gada 17. jūnija Regulas Nr. 651/2014, ar ko noteiktas atbalsta kategorijas atzīst par saderīgām ar iekšējo tirgu, piemērojot Līguma 107. un 108. pantu (Eiropas Savienības Oficiālais Vēstnesis, 2014. gada 26. jūnijs, Nr. L 187) (turpmāk – Regula Nr. 651/2014) 2. panta 18. punktā paredzētajām pazīmēm. Grūtībās nonākuša uzņēmuma pazīmes vērtē individuāli projekta iesniedzējam un tā saistīto personu grupai (ja attiecināms).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Projekta iesniedzējs sagatavo projekta iesniegumu saskaņā ar projektu iesniegumu atlases nolikuma prasībām, tam pievienojot Dūņu centra izveides nosacījumu izvērtējumu, šo noteikumu </w:t>
      </w:r>
      <w:r w:rsidR="00000000" w:rsidRPr="00000000" w:rsidDel="00000000">
        <w:rPr>
          <w:rtl w:val="0"/>
        </w:rPr>
        <w:t xml:space="preserve">21.</w:t>
      </w:r>
      <w:r w:rsidR="00000000" w:rsidRPr="00000000" w:rsidDel="00000000">
        <w:rPr>
          <w:rtl w:val="0"/>
        </w:rPr>
        <w:t xml:space="preserve"> punktā minēto Valsts Vides dienesta izziņu par ietekmes uz vidi novērtējuma, sākotnējā izvērtējuma vai tehnisko noteikumu nepieciešamību, un iesniedz sadarbības iestādei izmantojot Kohēzijas politikas fondu vadības informācijas sistēmu. Dūņu centra izveides nosacījumu izvērtējumā noteiktais projekta dzīves cikls ir periods, kas aptver laiku no projekta darbību uzsākšanas un vienu no šādiem laikposmiem: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vismaz 5 gadus pēc projekta noslēguma maksājuma veikšanas;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vismaz 20 gadus pēc projekta noslēguma maksājuma veikšanas, ja projektā paredzēti būvdarbi;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laikposms, ko noteikusi pašvaldība, kuras teritorijā tiek īstenots projekts, un kas pārsniedz šo noteikumu </w:t>
      </w:r>
      <w:r w:rsidR="00000000" w:rsidRPr="00000000" w:rsidDel="00000000">
        <w:rPr>
          <w:rtl w:val="0"/>
        </w:rPr>
        <w:t xml:space="preserve">20.1.</w:t>
      </w:r>
      <w:r w:rsidR="00000000" w:rsidRPr="00000000" w:rsidDel="00000000">
        <w:rPr>
          <w:rtl w:val="0"/>
        </w:rPr>
        <w:t xml:space="preserve"> un </w:t>
      </w:r>
      <w:r w:rsidR="00000000" w:rsidRPr="00000000" w:rsidDel="00000000">
        <w:rPr>
          <w:rtl w:val="0"/>
        </w:rPr>
        <w:t xml:space="preserve">20.2.</w:t>
      </w:r>
      <w:r w:rsidR="00000000" w:rsidRPr="00000000" w:rsidDel="00000000">
        <w:rPr>
          <w:rtl w:val="0"/>
        </w:rPr>
        <w:t xml:space="preserve"> apakšpunktā minēto laikposmu.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Projekta iesniedzējs Valsts vides dienestā iesniedz informāciju par plānoto notekūdeņu dūņu pārstrādes iekārtu un darbību (tehnisko specifikāciju un citu papildinošu dokumentāciju, ja tāda ir pieejama), lai saņemtu Valsts vides dienesta izziņu par ietekmes uz vidi novērtējuma, sākotnējā izvērtējuma vai tehnisko noteikumu nepieciešamību. Valsts vides dienests 15 darbdienu laikā sagatavo un izsniedz minēto izziņu. Projekta iesniedzējs pievieno izziņu projekta iesniegumam, ko iesniedz sadarbības iestādē atbilstoši šo noteikumu </w:t>
      </w:r>
      <w:r w:rsidR="00000000" w:rsidRPr="00000000" w:rsidDel="00000000">
        <w:rPr>
          <w:rtl w:val="0"/>
        </w:rPr>
        <w:t xml:space="preserve">20.</w:t>
      </w:r>
      <w:r w:rsidR="00000000" w:rsidRPr="00000000" w:rsidDel="00000000">
        <w:rPr>
          <w:rtl w:val="0"/>
        </w:rPr>
        <w:t xml:space="preserve"> punktā noteiktajai kārtībai.</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IV.</w:t>
      </w:r>
      <w:r w:rsidR="00000000" w:rsidRPr="00000000" w:rsidDel="00000000">
        <w:rPr>
          <w:rtl w:val="0"/>
        </w:rPr>
        <w:t xml:space="preserve"> </w:t>
      </w:r>
      <w:r w:rsidR="00000000" w:rsidRPr="00000000" w:rsidDel="00000000">
        <w:rPr>
          <w:rStyle w:val="paragraph_header"/>
          <w:b w:val="1"/>
          <w:rtl w:val="0"/>
        </w:rPr>
        <w:t xml:space="preserve">Atbalstāmo darbību un izmaksu attiecināmības nosacījumi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Pasākumā  tiek noteiktas šādas atbalstāmās darbības, kas ietver investīcijas infrastruktūras izveidei, pārbūvei vai atjaunošanai, kā arī tās funkcionalitātes nodrošināšanai: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notekūdeņu dūņu pārstrādes iekārtu iegāde un uzstādīšana notekūdeņu dūņu pārstrādei, tajā skaitā notekūdeņu dūņu komposta sagatavošanai;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notekūdeņu dūņu kompostēšanas laukuma izbūve un infrastruktūras pielāgošana kompostēšanas procesa nodrošināšanai, tostarp jumta un sienu konstrukciju uzstādīšana, kā arī vietu izveide vai pielāgošana pildvielu uzglabāšanai;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autosvaru iegāde un uzstādīšana ievesto notekūdeņu dūņu masas kontrolei un analītiskā testēšanas iekārta notekūdeņu dūņu sastāva un kvalitātes kontrolei;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notekūdeņu dūņu smaku neitralizācijas iekārtu iegāde un uzstādīšana un gāzu uztveršanas un biofiltru sistēmas iegāde un uzstādīšana siltumnīcefekta gāzu savākšanai un uzkrāšanai;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specializētās tehnikas un mehānismu iegāde, kas nepieciešama notekūdeņu dūņu pārstrādes un kompostēšanas procesu nodrošināšanai, tajā skaitā komposta apmaisītāji, irdinātāji, kausi un citi nepieciešamie mehānismi, kas nodrošina efektīvu bioloģiskās masas sagatavošanu, apstrādi un homogēnu aerāciju kompostēšanas procesā;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infrastruktūras izbūve notekūdeņu dūņu pārstrādei biogāzes ieguvei ar iespēju tās attīrīt līdz biometāna kvalitātei, tai skaitā anaerobās fermentācijas iekārtu iegāde un uzstādīšana, kas tiek izmantotas notekūdeņu dūņu pārstrādei;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dūņu transportēšanai uz notekūdeņu dūņu pārstrādes vietu nepieciešamo specializēto, bezemisiju vai tīro transportlīdzekļu, kas darbināmi ar atjaunīgajiem energoresursiem, iegāde, tai skaitā frontālo iekrāvēju iegāde, ja tie ir darbināmi ar atjaunīgajiem energoresursiem un klasificējami kā bezemisiju vai tīrie transportlīdzekļi, un paredzēti dūņu pārstrādes procesa nodrošināšanai;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darbības principa "Nenodarīt būtisku kaitējumu" un horizontālo principu "Energoefektivitāte pirmajā vietā", "Klimatdrošināšana", "Vienlīdzība, iekļaušana, nediskriminācija un pamattiesību ievērošana" nodrošināšanai;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komunikācijas un vizuālās identitātes pasākumi par projekta īstenošanu;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darbības projekta vadības un administrēšanas nodrošināšanai, tai skaitā personāla izmaksas, projekta uzraudzības un koordinācijas aktivitātes.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Projekta attiecināmās izmaksas pasākuma ietvaros ir:</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iesnieguma pamatojošās un projekta īstenošanas dokumentācijas izstrāde – Dūņu centra izveides nosacījumu izvērtējums, atbalstāmo darbību īstenošanai nepieciešamā tehniskā specifikācija, tehniskā projekta vai būvprojekta sagatavošanas (tai skaitā ar būvniecības ieceri un būvprojekta minimālā sastāvā saistīto sagatavošanas darbu) izmaksas, būvprojekta ekspertīzes, autoruzraudzības un būvuzraudzības (tai skaitā inženiertehniskās uzraudzības) izmaksas, ja ekspertīzes vai uzraudzības veikšanu nosaka būvniecības jomu regulējošie normatīvie akti, kopā nepārsniedzot 10 procentus no projekta kopējām attiecināmajām izmaksām; </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projekta vadības un administrēšanas nodrošināšana, nepārsniedzot 10 procentus no kopējām attiecināmajām izmaksām projektā;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notekūdeņu dūņu pārstrādes laukumu ar vietu pildvielu uzglabāšanai izbūves izmaksas, kā arī tiem nepieciešamo iekārtu, mehānismu un inženiertehnisko risinājumu, tai skaitā saistīto būvdarbu, piegādes un pakalpojumu līgumu izmaksas;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notekūdeņu dūņu anaerobās fermentēšanas iekārtu iegāde un uzstādīšana, lai optimizētu dūņu bioloģisko noārdīšanos un maksimizētu biogāzes ieguvi anaerobās fermentācijas procesā;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notekūdeņu dūņu transportēšanai nepieciešamo specializēto transportlīdzekļu iegāde, kas ir attiecināma, ja tiek iegādāti bezemisiju vai tīrie transportlīdzekļi, kas darbināmi ar atjaunīgajiem energoresursiem, lai samazinātu siltumnīcefekta gāzu emisijas un veicinātu ilgtspējīgu resursu izmantošanu;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principa "Nenodarīt būtisku kaitējumu", un horizontālā principa "Energoefektivitāte pirmajā vietā", "Klimatdrošināšana" un "Vienlīdzība, iekļaušana, un pamattiesību ievērošana" darbību īstenošanai nepieciešamās izmaksas;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izmaksas par ekspertu konsultācijām, kas nepieciešamas projekta sekmīgai realizācijai, nepārsniedzot trīs procentus no projekta kopējām attiecināmajām izmaksām;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neparedzētie izdevumi ar projekta īstenošanu saistīto citu attiecināmo izdevumu segšanai, nepārsniedzot piecus procentus no projekta kopējām attiecināmajām izmaksām, kuru izlietošanu finansējuma saņēmējs saskaņo ar sadarbības iestādi;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rezerves izmaksas ne vairāk kā desmit procentu apmērā no attiecināmo būvniecības izmaksu kopsummas, ja projektā paredzētas būvniecības darbības un attiecināmajās izmaksās nav iekļauti šo noteikumu </w:t>
      </w:r>
      <w:r w:rsidR="00000000" w:rsidRPr="00000000" w:rsidDel="00000000">
        <w:rPr>
          <w:rtl w:val="0"/>
        </w:rPr>
        <w:t xml:space="preserve">23.8.</w:t>
      </w:r>
      <w:r w:rsidR="00000000" w:rsidRPr="00000000" w:rsidDel="00000000">
        <w:rPr>
          <w:rtl w:val="0"/>
        </w:rPr>
        <w:t xml:space="preserve"> apakšpunktā minētie neparedzētie izdevumi. Rezerves izmaksu izlietošanu finansējuma saņēmējs saskaņo ar sadarbības iestādi;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ar projekta darbībām tieši saistīto komunikācijas un vizuālās identitātes pasākumu izmaksas;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pievienotās vērtības nodokļa izmaksas, kas tiešā veidā saistītas ar projektu, saskaņā ar Eiropas Parlamenta un Padomes 2021. gada 24. jūnija Regulas (ES)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2021/1060), 64. panta 1. punkta "c" apakšpunktā ietvertajiem nosacījumiem, ja tās nav atgūstamas nodokļu politiku reglamentējošos normatīvajos aktos noteiktajā kārtībā.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Pasākuma ietvaros iegādātie materiālie aktīvi ir jauni un tos iekļauj finansējuma saņēmēja aktīvos kā amortizējamos ilgtermiņa ieguldījumus un tie paliek Latvijas Republikā finansējuma saņēmēja īpašumā pēc projekta īstenošanas pabeigšanas (pēc noslēguma maksājuma veikšanas projektā) vismaz piecus gadus.</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w:t>
      </w:r>
      <w:r w:rsidR="00000000" w:rsidRPr="00000000" w:rsidDel="00000000">
        <w:rPr>
          <w:rtl w:val="0"/>
        </w:rPr>
        <w:t xml:space="preserve"> </w:t>
      </w:r>
      <w:r w:rsidR="00000000" w:rsidRPr="00000000" w:rsidDel="00000000">
        <w:rPr>
          <w:rStyle w:val="paragraph_header"/>
          <w:b w:val="1"/>
          <w:rtl w:val="0"/>
        </w:rPr>
        <w:t xml:space="preserve">Projekta īstenošanas un uzraudzības nosacījumi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Finansējuma saņēmējs projektu īsteno līdz līgumā vai vienošanās par projekta īstenošanu noteiktajam termiņam, bet ne ilgāk kā līdz 2029. gada 31. decembrim.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Projekta īstenošanas vieta ir Latvijas Republikas teritorija.</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Finansējuma saņēmējs: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uzkrāj datus par šo noteikumu </w:t>
      </w:r>
      <w:r w:rsidR="00000000" w:rsidRPr="00000000" w:rsidDel="00000000">
        <w:rPr>
          <w:rtl w:val="0"/>
        </w:rPr>
        <w:t xml:space="preserve">3.</w:t>
      </w:r>
      <w:r w:rsidR="00000000" w:rsidRPr="00000000" w:rsidDel="00000000">
        <w:rPr>
          <w:rtl w:val="0"/>
        </w:rPr>
        <w:t xml:space="preserve"> punktā minēto rādītāju vērtībām un sniedz šo informāciju sadarbības iestādei;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nodrošina, ka projekta īstenošanas laikā tiek ievēroti horizontālie principi "Klimatdrošināšana", "Energoefektivitāte pirmajā vietā", "Vienlīdzība, iekļaušana, nediskriminācija un pamattiesību ievērošana" un princips "Nenodarīt būtisku kaitējumu", paredzot atbilstošas prasības līgumos ar piegādātājiem un pakalpojumu sniedzējiem (ja attiecināms): </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nodrošina, ka projektā izmantotās tehnoloģijas un materiāli nerada negatīvu ietekmi uz vidi un neveicina jaunu atkritumu veidošanos, kā arī nepieļauj gruntsūdeņu piesārņojumu, samazina siltumnīcefektu gāzu emisijas, veicina pasākumus trokšņa, putekļu un piesārņotāju emisiju samazināšanu būvniecības procesa laikā;</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paredz izmantot klimatnoturīgas būvniecības metodes un materiālus, kas nodrošina ilgtspēju, izturību pret ekstremāliem laikapstākļiem un samazina enerģijas patēriņu, kā arī veicināt vietējo un otrreiz pārstrādātu materiālu izmantošanu;</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paredz tādu iekārtu uzstādīšanu, kas nepasliktina gaisa kvalitāti, un nodrošina gaisa kvalitātes prasību ievērošanu, tajā skaitā veic siltumnīcefekta gāzu emisiju ietaupījuma aprēķinu, un, ja iespējams, īstenot gāzu uztveršanas risinājumus, piemēram, biofiltru sistēmas;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paredz energoefektīvu iekārtu iegādi ar zemu enerģijas patēriņu (ja attiecināms) un nodrošina sistēmas efektivitāti, veicot regulāru uzraudzību, enerģijas patēriņa optimizāciju un pielāgojot darbības procesus, lai samazinātu lieku resursu patēriņu un emisijas;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izmanto videi draudzīgus, tīros transportlīdzekļus un optimizē notekūdeņu dūņu transportēšanas maršrutus, lai samazinātu siltumnīcefekta gāzu emisijas un mazinātu ietekmi uz vidi;</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nodrošina aprites cikla ekonomikas principa ievērošanu, attīstot un īstenojot tehnoloģijas, kas ļauj pārstrādāt notekūdeņu dūņas vērtīgos produktos, piemēram, kompostā vai biogāzē (t.sk. biometānā), nodrošināt, ka komposta sagatavošanas vai biogāzes (t.sk. biometāna) ražošanas procesā tiek maksimāli izmantotas visas izejvielas un iegūtie blakusprodukti (piemēram, digestāts), neradot jaunus atkritumus;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būvniecības procesa laikā ievēro prasības par koku ciršanas aizliegumu putnu ligzdošanas periodā un nodrošina esošo koku veselības stāvokļa aizsardzību, tai skaitā nekaitējot koku saknēm (ja attiecināms).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uzkrāj datus par projekta ietekmi uz šo noteikumu </w:t>
      </w:r>
      <w:r w:rsidR="00000000" w:rsidRPr="00000000" w:rsidDel="00000000">
        <w:rPr>
          <w:rtl w:val="0"/>
        </w:rPr>
        <w:t xml:space="preserve">27.2.</w:t>
      </w:r>
      <w:r w:rsidR="00000000" w:rsidRPr="00000000" w:rsidDel="00000000">
        <w:rPr>
          <w:rtl w:val="0"/>
        </w:rPr>
        <w:t xml:space="preserve"> apakšpunktā minēto horizontālo principu īstenošanu un sniedz šo informāciju sadarbības iestādei;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ievēro Eiropas Savienības un Latvijas Republikas normatīvos aktus vides aizsardzības jomā, tai skaitā sniedz apliecinājumu, ka būvdarbu veicējiem vai pakalpojumu sniedzējiem finansējuma saņēmējs noteiks pienākumu, ka projekta būvniecības procesa laikā tiks nodrošināti labākie pieejamie tehniskie risinājumi trokšņu, smaku, putekļu un piesārņojuma emisiju samazināšanai (ja attiecināms);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ievēro interešu konflikta neesamību saskaņā ar Eiropas Parlamenta un Padomes 2024. gada 23. septembra regula (ES, Euratom) 2024/2509 par finanšu noteikumiem, ko piemēro Savienības vispārējam budžetam (pārstrādāta redakcija) 61. panta un iepirkumu regulējošo normatīvo aktu prasībām;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 saviem līdzekļiem sedz projekta īstenošanas gaitā radušos sadārdzinājumu un citas papildu izmaksas, ja tās saskaņotas atbilstoši šo noteikumu </w:t>
      </w:r>
      <w:r w:rsidR="00000000" w:rsidRPr="00000000" w:rsidDel="00000000">
        <w:rPr>
          <w:rtl w:val="0"/>
        </w:rPr>
        <w:t xml:space="preserve">23.8.</w:t>
      </w:r>
      <w:r w:rsidR="00000000" w:rsidRPr="00000000" w:rsidDel="00000000">
        <w:rPr>
          <w:rtl w:val="0"/>
        </w:rPr>
        <w:t xml:space="preserve"> apakšpunktam;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nodrošina dubultā finansējuma neiestāšanos, tostarp, ka projektā plānotie darbi netiek finansēti vai līdzfinansēti, kā arī tos nav plānots finansēt vai līdzfinansēt no citiem valsts vai ārvalstu finanšu atbalsta instrumentiem;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īsteno komunikācijas un vizuālās identitātes pasākumus atbilstoši Eiropas Parlamenta un Padomes regulas (ES) 2021/1060 47. un 50. pantam, kā arī Finanšu ministrijas vadlīnijās "Eiropas Savienības fondu 2021.–2027. gada plānošanas perioda un Atveseļošanas fonda komunikācijas un dizaina vadlīnijas" noteiktajām prasībām;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ne retāk kā reizi sešos mēnešos savā tīmekļvietnē ievieto aktuālo informāciju par projekta īstenošanu;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nodrošina, ka ir saņemtas visas vides aizsardzības vai būvniecības jomu reglamentējošos normatīvajos aktos noteiktās atļaujas, kas nepieciešamas, lai īstenotu projektā plānotos tehnoloģiskos risinājumus un veiktu būvniecību vai iekārtu uzstādīšanu;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piecus gadus pēc noslēguma maksājuma saņemšanas nodrošina projektā ieguldīto investīciju un radīto pamatlīdzekļu izmantošanu projektā paredzētajam mērķim, kā arī nodrošina ieguldīto investīciju ilgtspēju un uzturēšanu darba kārtībā;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nodrošina atsevišķu grāmatvedības uzskaiti par finansējuma izlietojumu projektā, nodalot tā ietvaros veiktās darbības no citas saimnieciskās darbības;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projekta ietvaros, veicot iepirkumus, ievēro, ka iepirkumu procedūras tiek veiktas saskaņā ar normatīvo aktu prasībām iepirkumu jomā, īstenojot atklātu, pārredzamu, nediskriminējošu un konkurenci nodrošinošu iepirkuma procedūru, un nodrošina vides prasību integrāciju preču, pakalpojumu un būvdarbu iepirkumos (zaļais publiskais iepirkums), kā arī izvērtē sociāli atbildīga un inovatīva publiskā iepirkuma nosacījumu piemērošanu.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nodrošina šo noteikumu </w:t>
      </w:r>
      <w:r w:rsidR="00000000" w:rsidRPr="00000000" w:rsidDel="00000000">
        <w:rPr>
          <w:rtl w:val="0"/>
        </w:rPr>
        <w:t xml:space="preserve">18.</w:t>
      </w:r>
      <w:r w:rsidR="00000000" w:rsidRPr="00000000" w:rsidDel="00000000">
        <w:rPr>
          <w:rtl w:val="0"/>
        </w:rPr>
        <w:t xml:space="preserve"> punktā noteiktās īpašumtiesības vai turējuma tiesības vismaz piecus gadus pēc noslēguma maksājuma saņemšanas.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Pasākuma ietvaros projektā plāno tikai attiecināmās izmaksas. Izmaksas, kas saskaņā ar šo noteikumu prasībām nav iekļaujamas projektā kā attiecināmās izmaksas, ir finansējamas ārpus projekta par finansējuma saņēmēja līdzekļiem. Ārpus projekta nedrīkst paredzēt izmaksas par darbībām, kas tiešā veidā nodrošina projekta mērķa sasniegšanu, izņemot šo noteikumu </w:t>
      </w:r>
      <w:r w:rsidR="00000000" w:rsidRPr="00000000" w:rsidDel="00000000">
        <w:rPr>
          <w:rtl w:val="0"/>
        </w:rPr>
        <w:t xml:space="preserve">27.6.</w:t>
      </w:r>
      <w:r w:rsidR="00000000" w:rsidRPr="00000000" w:rsidDel="00000000">
        <w:rPr>
          <w:rtl w:val="0"/>
        </w:rPr>
        <w:t xml:space="preserve"> apakšpunktā minētās izmaksas.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Izmaksas ir attiecināmas no dienas, kad projekta iesniegums iesniegts sadarbības iestādē, izņemot šo noteikumu </w:t>
      </w:r>
      <w:r w:rsidR="00000000" w:rsidRPr="00000000" w:rsidDel="00000000">
        <w:rPr>
          <w:rtl w:val="0"/>
        </w:rPr>
        <w:t xml:space="preserve">23.1.</w:t>
      </w:r>
      <w:r w:rsidR="00000000" w:rsidRPr="00000000" w:rsidDel="00000000">
        <w:rPr>
          <w:rtl w:val="0"/>
        </w:rPr>
        <w:t xml:space="preserve"> apakšpunktā minētās izmaksas, kas ir attiecināmas, ja tās veiktas pēc 2021. gada 1. janvāra. </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Sadarbības iestāde, ja tai ir pieejami valsts budžeta līdzekļi, izvērtējot plānotā avansa apmēru un tā pamatojumu un pamatojoties uz finansējuma saņēmēja rakstisku avansa pieprasījumu, var piešķirt finansējuma saņēmējam avansu pēc civiltiesiskā līguma vai vienošanās par projekta īstenošanu noslēgšanas. Finansējuma saņēmējs avansa pieprasījumu sagatavo un sadarbības iestāde apstiprina, ņemot vērā nosacījumu, ka plānotā avansa apmērs atbilst spējai to izlietot sešu mēnešu laikā saimnieciskā gada ietvaros. Finansējuma saņēmējam avansu var piešķirt līdz 50 procentiem no projektam piešķirtā Kohēzijas fonda finansējuma, ievērojot, ka  avansu var izmaksāt vairākos maksājumos un avansa un starpposma maksājumu kopsumma nepārsniedz 90 procentus no projektam piešķirtā Kohēzijas fonda finansējuma.</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VI.</w:t>
      </w:r>
      <w:r w:rsidR="00000000" w:rsidRPr="00000000" w:rsidDel="00000000">
        <w:rPr>
          <w:rtl w:val="0"/>
        </w:rPr>
        <w:t xml:space="preserve"> </w:t>
      </w:r>
      <w:r w:rsidR="00000000" w:rsidRPr="00000000" w:rsidDel="00000000">
        <w:rPr>
          <w:rStyle w:val="paragraph_header"/>
          <w:b w:val="1"/>
          <w:rtl w:val="0"/>
        </w:rPr>
        <w:t xml:space="preserve">Komercdarbības atbalsta piešķiršanas nosacījumi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Komercdarbības atbalstu pasākuma ietvaros piešķir saskaņā ar Eiropas Komisijas lēmumu Nr. 2012/21/ES, regulas Nr. 651/2014 36.b pantu, 41. pantu un 47.pantu un Komisijas 2023. gada 13. decembra Regulu (ES)  2023/2831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(Eiropas Savienības Oficiālais Vēstnesis, 2023. gada 15. decembris, sērija L) (turpmāk –  Regula Nr. 2023/2831).</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Komercdarbības atbalstu šo noteikumu ietvaros piešķir šādām darbībām: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regulas Nr. 651/2014 36.b pantu - jaunu, rūpnieciski ražotu bezemisiju vai tīro transportlīdzekļu iegāde, kas paredzēti notekūdeņu dūņu transportēšanai Latvijas Republikas teritorijā, ja tie ir lietoti mazāk par sešiem mēnešiem un nobraukuši mazāk par 6000 km neatkarīgi no transportlīdzekļa reģistrācijas, un atbilst šo noteikumu </w:t>
      </w:r>
      <w:r w:rsidR="00000000" w:rsidRPr="00000000" w:rsidDel="00000000">
        <w:rPr>
          <w:rtl w:val="0"/>
        </w:rPr>
        <w:t xml:space="preserve">22.7.</w:t>
      </w:r>
      <w:r w:rsidR="00000000" w:rsidRPr="00000000" w:rsidDel="00000000">
        <w:rPr>
          <w:rtl w:val="0"/>
        </w:rPr>
        <w:t xml:space="preserve"> apakšpunktam un regulas Nr. 651/2014 2. panta 102.g punktam un 102.f punktam;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saskaņā ar regulas Nr. 651/2014 41. pantu -  infrastruktūras izbūve notekūdeņu dūņu pārstrādei biogāzes ieguvei ar iespēju tās attīrīt līdz biometāna kvalitātei, tai skaitā anaerobās fermentācijas iekārtu iegāde, kas tiek izmantotas notekūdeņu dūņu pārstrādei un atbilst šo noteikumu </w:t>
      </w:r>
      <w:r w:rsidR="00000000" w:rsidRPr="00000000" w:rsidDel="00000000">
        <w:rPr>
          <w:rtl w:val="0"/>
        </w:rPr>
        <w:t xml:space="preserve">22.6.</w:t>
      </w:r>
      <w:r w:rsidR="00000000" w:rsidRPr="00000000" w:rsidDel="00000000">
        <w:rPr>
          <w:rtl w:val="0"/>
        </w:rPr>
        <w:t xml:space="preserve"> apakšpunktam. </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saskaņā ar regulas Nr. 651/2014 47. pantu - infrastruktūra notekūdeņu dūņu kompostēšanas laukumu izbūvei, tai skaitā notekūdeņu dūņu pārstrādes iekārtu iegāde, uzstādīšana un pielāgošana atbilstoši šo noteikumu </w:t>
      </w:r>
      <w:r w:rsidR="00000000" w:rsidRPr="00000000" w:rsidDel="00000000">
        <w:rPr>
          <w:rtl w:val="0"/>
        </w:rPr>
        <w:t xml:space="preserve">22.1.</w:t>
      </w:r>
      <w:r w:rsidR="00000000" w:rsidRPr="00000000" w:rsidDel="00000000">
        <w:rPr>
          <w:rtl w:val="0"/>
        </w:rPr>
        <w:t xml:space="preserve">, </w:t>
      </w:r>
      <w:r w:rsidR="00000000" w:rsidRPr="00000000" w:rsidDel="00000000">
        <w:rPr>
          <w:rtl w:val="0"/>
        </w:rPr>
        <w:t xml:space="preserve">22.2.</w:t>
      </w:r>
      <w:r w:rsidR="00000000" w:rsidRPr="00000000" w:rsidDel="00000000">
        <w:rPr>
          <w:rtl w:val="0"/>
        </w:rPr>
        <w:t xml:space="preserve">, </w:t>
      </w:r>
      <w:r w:rsidR="00000000" w:rsidRPr="00000000" w:rsidDel="00000000">
        <w:rPr>
          <w:rtl w:val="0"/>
        </w:rPr>
        <w:t xml:space="preserve">22.3.</w:t>
      </w:r>
      <w:r w:rsidR="00000000" w:rsidRPr="00000000" w:rsidDel="00000000">
        <w:rPr>
          <w:rtl w:val="0"/>
        </w:rPr>
        <w:t xml:space="preserve">, </w:t>
      </w:r>
      <w:r w:rsidR="00000000" w:rsidRPr="00000000" w:rsidDel="00000000">
        <w:rPr>
          <w:rtl w:val="0"/>
        </w:rPr>
        <w:t xml:space="preserve">22.4.</w:t>
      </w:r>
      <w:r w:rsidR="00000000" w:rsidRPr="00000000" w:rsidDel="00000000">
        <w:rPr>
          <w:rtl w:val="0"/>
        </w:rPr>
        <w:t xml:space="preserve"> un </w:t>
      </w:r>
      <w:r w:rsidR="00000000" w:rsidRPr="00000000" w:rsidDel="00000000">
        <w:rPr>
          <w:rtl w:val="0"/>
        </w:rPr>
        <w:t xml:space="preserve">22.5.</w:t>
      </w:r>
      <w:r w:rsidR="00000000" w:rsidRPr="00000000" w:rsidDel="00000000">
        <w:rPr>
          <w:rtl w:val="0"/>
        </w:rPr>
        <w:t xml:space="preserve"> apakšpunktam. Ieguldījumi projekta iesniedzējiem tiks sniegti atkritumu rašanās novēršanai un samazināšanai, sagatavojot tos atkalizmantošanai un reciklēšanai.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Komercdarbības atbalstu saskaņā ar regulas Nr. 651/2014 36.b pantu, 41. pantu un 47. pantu projekta iesniedzējam piešķir, ja ievēroti šādi regulas Nr. 651/2014 nosacījumi:</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1. panta 2. punkta "c" un "d" apakšpunkta nosacījumi par gadījumiem, kādos nepiemēro regulu Nr. 651/2014;</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1. panta 3. punkta nosacījumi par nozarēm, kurām nepiemēro regulu Nr. 651/2014 un kurām tiek nodrošināta izmaksu nošķiršana, lai darbības izslēgtajās nozarēs negūst labumu no atbalsta, kas piešķirts saskaņā ar regulu Nr. 651/2014;</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1. panta 4. punkta "a" apakšpunkta nosacījumi, ka atbalsts netiek sniegts saņēmējam, uz kuru uzņēmuma grupas līmenī attiecas līdzekļu atgūšanas rīkojums saskaņā ar iepriekšēju Komisijas lēmumu, ar ko atbalsts tiek atzīts par nelikumīgu un nesaderīgu ar kopējo tirgu.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Komercdarbības atbalsts saskaņā ar regulas Nr. 651/2014 36.b pantu piešķir, ja ievēroti šādi regulas Nr. 651/2014 nosacījumi:</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36.b panta 5. punkta "a" apakšpunktu paredz 100% atbalsta intensitāti no attiecināmajām izmaksām bezemisiju transportlīdzekļu iegādei, izpirkumnomai vai modernizācijai, lai tie atbilstu bezemisiju transportlīdzekļu prasībām, kas noteiktas regulas Nr. 651/2014 2.panta 102.g punktā;</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36.b panta 5. punkta "b" apakšpunktu paredz 80% atbalsta intensitāti no attiecināmajām izmaksām tīro transportlīdzekļu iegādei, izpirkumnomai vai modernizācijai, lai tie atbilstu tīru transportlīdzekļu prasībām, kas noteiktas regulas Nr. 651/2014 2.panta 102.f punktā.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Sniedzot atbalstu saskaņā ar regulas Nr. 651/2014 36.b pantu 5. punkta "a" apakšpunktu, atbalstu nepiešķir ieguldījumiem, kas norādīti regulas Nr. 651/2014 1. panta 6. punktā un 36.b panta 5. punkta "b" apakšpunktā, 6.punktā un 7. punktā.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Komercdarbības atbalsts saskaņā ar regulas Nr. 651/2014 41. panta 10. punktu paredz 100% atbalsta intensitāti no attiecināmajām izmaksām infrastruktūras ieguldījumiem atjaunojamās enerģijas jomā, kas saistīta ar notekūdeņu dūņu pārstrādi, tostarp biogāzes (t.sk. biometāna) ieguves iekārtu iegādi un uzstādīšanu. Sniedzot atbalstu, jāievēro regulas Nr. 651/2014 41. panta 1., 2. un 5. punkta nosacījumi.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Sniedzot atbalstu saskaņā ar regulas Nr. 651/2014 41. panta 10. punktu, atbalstu nepiešķir ieguldījumiem, kas norādīti regulas Nr. 651/2014 41. panta 7. un 8. punktā. </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Maksimālā Kohēzijas fonda finansējuma intensitāte šo noteikumu </w:t>
      </w:r>
      <w:r w:rsidR="00000000" w:rsidRPr="00000000" w:rsidDel="00000000">
        <w:rPr>
          <w:rtl w:val="0"/>
        </w:rPr>
        <w:t xml:space="preserve">22.1.</w:t>
      </w:r>
      <w:r w:rsidR="00000000" w:rsidRPr="00000000" w:rsidDel="00000000">
        <w:rPr>
          <w:rtl w:val="0"/>
        </w:rPr>
        <w:t xml:space="preserve">, </w:t>
      </w:r>
      <w:r w:rsidR="00000000" w:rsidRPr="00000000" w:rsidDel="00000000">
        <w:rPr>
          <w:rtl w:val="0"/>
        </w:rPr>
        <w:t xml:space="preserve">22.2.</w:t>
      </w:r>
      <w:r w:rsidR="00000000" w:rsidRPr="00000000" w:rsidDel="00000000">
        <w:rPr>
          <w:rtl w:val="0"/>
        </w:rPr>
        <w:t xml:space="preserve">., </w:t>
      </w:r>
      <w:r w:rsidR="00000000" w:rsidRPr="00000000" w:rsidDel="00000000">
        <w:rPr>
          <w:rtl w:val="0"/>
        </w:rPr>
        <w:t xml:space="preserve">22.3.</w:t>
      </w:r>
      <w:r w:rsidR="00000000" w:rsidRPr="00000000" w:rsidDel="00000000">
        <w:rPr>
          <w:rtl w:val="0"/>
        </w:rPr>
        <w:t xml:space="preserve">, </w:t>
      </w:r>
      <w:r w:rsidR="00000000" w:rsidRPr="00000000" w:rsidDel="00000000">
        <w:rPr>
          <w:rtl w:val="0"/>
        </w:rPr>
        <w:t xml:space="preserve">22.4.</w:t>
      </w:r>
      <w:r w:rsidR="00000000" w:rsidRPr="00000000" w:rsidDel="00000000">
        <w:rPr>
          <w:rtl w:val="0"/>
        </w:rPr>
        <w:t xml:space="preserve"> un </w:t>
      </w:r>
      <w:r w:rsidR="00000000" w:rsidRPr="00000000" w:rsidDel="00000000">
        <w:rPr>
          <w:rtl w:val="0"/>
        </w:rPr>
        <w:t xml:space="preserve">22.5.</w:t>
      </w:r>
      <w:r w:rsidR="00000000" w:rsidRPr="00000000" w:rsidDel="00000000">
        <w:rPr>
          <w:rtl w:val="0"/>
        </w:rPr>
        <w:t xml:space="preserve"> apakšpunktā noteiktajām atbalstāmajām darbībām notekūdeņu dūņu kompostēšanas laukumu izbūvei, ieskaitot pārstrādes iekārtu iegādi, uzstādīšanu un pielāgošanu, kurās neiekļauj </w:t>
      </w:r>
      <w:r w:rsidR="00000000" w:rsidRPr="00000000" w:rsidDel="00000000">
        <w:rPr>
          <w:i w:val="1"/>
          <w:rtl w:val="0"/>
        </w:rPr>
        <w:t xml:space="preserve">de minimis</w:t>
      </w:r>
      <w:r w:rsidR="00000000" w:rsidRPr="00000000" w:rsidDel="00000000">
        <w:rPr>
          <w:rtl w:val="0"/>
        </w:rPr>
        <w:t xml:space="preserve"> atbalstu šo noteikumu 22.1. apakšpunktā un 22.2. apakšpunktā minēto izmaksu segšanai, ņemot vērā regulas Nr. 651/2014 47. panta 8. un 9. punktu un šo noteikumu </w:t>
      </w:r>
      <w:r w:rsidR="00000000" w:rsidRPr="00000000" w:rsidDel="00000000">
        <w:rPr>
          <w:rtl w:val="0"/>
        </w:rPr>
        <w:t xml:space="preserve">18.</w:t>
      </w:r>
      <w:r w:rsidR="00000000" w:rsidRPr="00000000" w:rsidDel="00000000">
        <w:rPr>
          <w:rtl w:val="0"/>
        </w:rPr>
        <w:t xml:space="preserve"> punktu, nepārsniedz: </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mazajiem (tai skaitā mikro) uzņēmumiem 75 procentus;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vidējiem uzņēmumiem 65 procentus;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lielajiem uzņēmumiem 55 procentus.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Projekta iesniedzējs, atbilstoši regulas Nr. 651/2014 47. panta 7. punktam, projekta iesniegumā apraksta un pievieno dokumentārus pierādījumus, ka tad, ja atbalsts nebūtu piešķirts, ieguldījums netiktu veikts, piemēram, šādu iemeslu dēļ:</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tirgus nepilnības Latvijā;</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otrreizēju izejvielu pieprasījuma kritums vai cenu izmaiņas;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citi projekta iesniedzēja sniegti pierādījumi.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Ar projekta izmaksām saistītos līgumus slēdz un ar ieguldījumiem saistītos darbus uzsāk pēc projekta iesnieguma iesniegšanas sadarbības iestādē, tai skaitā ievērojot arī regulas Nr. 651/2014 2. panta 23. punktā minēto nosacījumu par darbu sākumu un regulas Nr. 651/2014 6. panta 2. punktā minēto stimulējošās ietekmes prasību. Līgumi, kas var būt noslēgti pirms projekta iesnieguma iesniegšanas sadarbības iestādē, ir saistīti ar šo noteikumu 22.1. un 22.2. apakšpunktā minētajām izmaksām.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Pasākuma ietvaros </w:t>
      </w:r>
      <w:r w:rsidR="00000000" w:rsidRPr="00000000" w:rsidDel="00000000">
        <w:rPr>
          <w:i w:val="1"/>
          <w:rtl w:val="0"/>
        </w:rPr>
        <w:t xml:space="preserve">de minimis</w:t>
      </w:r>
      <w:r w:rsidR="00000000" w:rsidRPr="00000000" w:rsidDel="00000000">
        <w:rPr>
          <w:rtl w:val="0"/>
        </w:rPr>
        <w:t xml:space="preserve"> atbalstu, ko projekta iesniedzējam piešķir šo noteikumu 22.1. apakšpunktā un 22.2. apakšpunktā minētajām izmaksām, sniedz saskaņā ar regulu Nr. 2023/2831, ievērojot šādus nosacījumus: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pirms </w:t>
      </w:r>
      <w:r w:rsidR="00000000" w:rsidRPr="00000000" w:rsidDel="00000000">
        <w:rPr>
          <w:i w:val="1"/>
          <w:rtl w:val="0"/>
        </w:rPr>
        <w:t xml:space="preserve">de minimis </w:t>
      </w:r>
      <w:r w:rsidR="00000000" w:rsidRPr="00000000" w:rsidDel="00000000">
        <w:rPr>
          <w:rtl w:val="0"/>
        </w:rPr>
        <w:t xml:space="preserve">atbalsta piešķiršanas pārbauda, vai projekta iesniedzējam plānotais de minimis atbalsts kopā ar iepriekšējos trijos gados no atbalsta piešķiršanas dienas piešķirto </w:t>
      </w:r>
      <w:r w:rsidR="00000000" w:rsidRPr="00000000" w:rsidDel="00000000">
        <w:rPr>
          <w:i w:val="1"/>
          <w:rtl w:val="0"/>
        </w:rPr>
        <w:t xml:space="preserve">de minimis</w:t>
      </w:r>
      <w:r w:rsidR="00000000" w:rsidRPr="00000000" w:rsidDel="00000000">
        <w:rPr>
          <w:rtl w:val="0"/>
        </w:rPr>
        <w:t xml:space="preserve"> atbalstu viena vienota uzņēmuma līmenī nepārsniedz regulas Nr. 2023/2831 3. panta 2. punktā noteikto robežlielumu jeb 300 000 euro. Viens vienots uzņēmums ir tāds uzņēmums, kas atbilst regulas Nr.  2023/2831 2. panta 2. punktā minētajiem kritērijiem;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2.</w:t>
      </w:r>
      <w:r w:rsidR="00000000" w:rsidRPr="00000000" w:rsidDel="00000000">
        <w:rPr>
          <w:rtl w:val="0"/>
        </w:rPr>
        <w:t xml:space="preserve"> </w:t>
      </w:r>
      <w:r w:rsidR="00000000" w:rsidRPr="00000000" w:rsidDel="00000000">
        <w:rPr>
          <w:i w:val="1"/>
          <w:rtl w:val="0"/>
        </w:rPr>
        <w:t xml:space="preserve">de minimis</w:t>
      </w:r>
      <w:r w:rsidR="00000000" w:rsidRPr="00000000" w:rsidDel="00000000">
        <w:rPr>
          <w:rtl w:val="0"/>
        </w:rPr>
        <w:t xml:space="preserve"> atbalstu piešķir, ievērojot regulas Nr. 2023/2831 1. panta 1. punkta "a", "b", "c" un "d" apakšpunktā minētos nozaru ierobežojumus un regulas Nr. 2023/2831 1. panta 1. punkta "e" un "f" apakšpunktā minētos darbības ierobežojumus. Ja komersants vienlaikus darbojas vienā vai vairākās nozarēs vai veic citas darbības nozarēs, kas neietilpst regulas Nr. 2023/2831 darbības jomā, tas nodrošina šo nozaru darbību vai izmaksu nodalīšanu saskaņā ar regulas Nr. 2023/2831 1. panta 2. punktu, lai darbības nozarēs, kuras ir izslēgtas no šīs regulas darbības jomas, negūtu labumu no </w:t>
      </w:r>
      <w:r w:rsidR="00000000" w:rsidRPr="00000000" w:rsidDel="00000000">
        <w:rPr>
          <w:i w:val="1"/>
          <w:rtl w:val="0"/>
        </w:rPr>
        <w:t xml:space="preserve">de minimis</w:t>
      </w:r>
      <w:r w:rsidR="00000000" w:rsidRPr="00000000" w:rsidDel="00000000">
        <w:rPr>
          <w:rtl w:val="0"/>
        </w:rPr>
        <w:t xml:space="preserve"> atbalsta, ko piešķir saskaņā ar šo regulu;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3.</w:t>
      </w:r>
      <w:r w:rsidR="00000000" w:rsidRPr="00000000" w:rsidDel="00000000">
        <w:rPr>
          <w:rtl w:val="0"/>
        </w:rPr>
        <w:t xml:space="preserve"> </w:t>
      </w:r>
      <w:r w:rsidR="00000000" w:rsidRPr="00000000" w:rsidDel="00000000">
        <w:rPr>
          <w:i w:val="1"/>
          <w:rtl w:val="0"/>
        </w:rPr>
        <w:t xml:space="preserve">de minimis</w:t>
      </w:r>
      <w:r w:rsidR="00000000" w:rsidRPr="00000000" w:rsidDel="00000000">
        <w:rPr>
          <w:rtl w:val="0"/>
        </w:rPr>
        <w:t xml:space="preserve"> atbalsta gadījumā projekta iesniegumam pievieno </w:t>
      </w:r>
      <w:r w:rsidR="00000000" w:rsidRPr="00000000" w:rsidDel="00000000">
        <w:rPr>
          <w:i w:val="1"/>
          <w:rtl w:val="0"/>
        </w:rPr>
        <w:t xml:space="preserve">de minimis</w:t>
      </w:r>
      <w:r w:rsidR="00000000" w:rsidRPr="00000000" w:rsidDel="00000000">
        <w:rPr>
          <w:rtl w:val="0"/>
        </w:rPr>
        <w:t xml:space="preserve"> atbalsta uzskaites sistēmā sagatavotas veidlapas izdruku vai norāda sistēmā izveidotās un apstiprinātās atbalsta pretendenta veidlapas identifikācijas numuru, ievērojot normatīvos aktus par </w:t>
      </w:r>
      <w:r w:rsidR="00000000" w:rsidRPr="00000000" w:rsidDel="00000000">
        <w:rPr>
          <w:i w:val="1"/>
          <w:rtl w:val="0"/>
        </w:rPr>
        <w:t xml:space="preserve">de minimis</w:t>
      </w:r>
      <w:r w:rsidR="00000000" w:rsidRPr="00000000" w:rsidDel="00000000">
        <w:rPr>
          <w:rtl w:val="0"/>
        </w:rPr>
        <w:t xml:space="preserve"> atbalsta uzskaites un piešķiršanas kārtību;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4.</w:t>
      </w:r>
      <w:r w:rsidR="00000000" w:rsidRPr="00000000" w:rsidDel="00000000">
        <w:rPr>
          <w:rtl w:val="0"/>
        </w:rPr>
        <w:t xml:space="preserve"> </w:t>
      </w:r>
      <w:r w:rsidR="00000000" w:rsidRPr="00000000" w:rsidDel="00000000">
        <w:rPr>
          <w:i w:val="1"/>
          <w:rtl w:val="0"/>
        </w:rPr>
        <w:t xml:space="preserve">de minimis</w:t>
      </w:r>
      <w:r w:rsidR="00000000" w:rsidRPr="00000000" w:rsidDel="00000000">
        <w:rPr>
          <w:rtl w:val="0"/>
        </w:rPr>
        <w:t xml:space="preserve"> atbalsta uzskaiti veic saskaņā ar normatīvajiem aktiem par </w:t>
      </w:r>
      <w:r w:rsidR="00000000" w:rsidRPr="00000000" w:rsidDel="00000000">
        <w:rPr>
          <w:i w:val="1"/>
          <w:rtl w:val="0"/>
        </w:rPr>
        <w:t xml:space="preserve">de minimis</w:t>
      </w:r>
      <w:r w:rsidR="00000000" w:rsidRPr="00000000" w:rsidDel="00000000">
        <w:rPr>
          <w:rtl w:val="0"/>
        </w:rPr>
        <w:t xml:space="preserve"> atbalsta uzskaites un piešķiršanas kārtību. Dokumentāciju par </w:t>
      </w:r>
      <w:r w:rsidR="00000000" w:rsidRPr="00000000" w:rsidDel="00000000">
        <w:rPr>
          <w:i w:val="1"/>
          <w:rtl w:val="0"/>
        </w:rPr>
        <w:t xml:space="preserve">de minimis</w:t>
      </w:r>
      <w:r w:rsidR="00000000" w:rsidRPr="00000000" w:rsidDel="00000000">
        <w:rPr>
          <w:rtl w:val="0"/>
        </w:rPr>
        <w:t xml:space="preserve"> atbalsta piešķiršanu sadarbības iestāde glabā 10 gadus no pēdējā pasākuma ietvaros piešķirtā atbalsta, bet finansējuma saņēmējs – 10 gadus no atbalsta piešķiršanas dienas.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i w:val="1"/>
          <w:rtl w:val="0"/>
        </w:rPr>
        <w:t xml:space="preserve">De minimis</w:t>
      </w:r>
      <w:r w:rsidR="00000000" w:rsidRPr="00000000" w:rsidDel="00000000">
        <w:rPr>
          <w:rtl w:val="0"/>
        </w:rPr>
        <w:t xml:space="preserve"> atbalstu piešķir, ievērojot regulas Nr. 2023/2831 1. panta 1. punkta "a", "b", "c" un "d" apakšpunktā minētos nozaru ierobežojumus un regulas Nr. 2023/2831 1. panta 1. punkta "e" un "f" apakšpunktā minētos darbības ierobežojumus. Ja komersants vienlaikus darbojas vienā vai vairākās nozarēs vai veic citas darbības nozarēs, kas neietilpst Komisijas regulas Nr. 2023/2831 darbības jomā, tas nodrošina šo nozaru darbību vai izmaksu nodalīšanu saskaņā ar komisijas regulas Nr.  2023/2831 1. panta 2. punktu, lai darbības nozarēs, kuras ir izslēgtas no šīs regulas darbības jomas, negūtu labumu no de minimis atbalsta, ko piešķir saskaņā ar šo regulu.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Sniedzot atbalstu saskaņā ar Eiropas Komisijas lēmumu Nr. 2012/21/ES, komercdarbības atbalstu sabiedrisko pakalpojumu sniedzējiem piešķir kā kompensāciju par sabiedriskajiem pakalpojumiem dažiem uzņēmumiem, kuriem uzticēts sniegt pakalpojumus ar vispārēju tautsaimniecisku nozīmi.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Komercdarbības atbalsta saņēmējs un vispārējas tautsaimnieciskas nozīmes pakalpojuma pilnvarojuma uzlicējs nodrošina, ka pilnvarojuma periodā un vismaz 10 gadus pēc pilnvarojuma perioda beigām tiek saglabāta un nodrošināta pieejamība projekta izmaksas pamatojošajiem dokumentiem, visai ar projektu saistītajai dokumentācijai un visai nepieciešamajai informācijai, lai noteiktu, vai piešķirtais atbalsts ir atbilstošs komercdarbības atbalsta piešķiršanas nosacījumiem vispārējas tautsaimnieciskas nozīmes pakalpojumu sniegšanai. Sadarbības iestāde ar komercdarbības atbalsta piešķiršanu saistīto informāciju glabā un nodrošina tās pieejamību 10 gadus, skaitot no pēdējās komercdarbības atbalsta piešķiršanas dienas.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Projekta iesniedzējs iesniedz sadarbības iestādē vispārējas tautsaimnieciskas nozīmes pakalpojuma pilnvarojuma uzlicēja apliecinājumu par šo noteikumu </w:t>
      </w:r>
      <w:r w:rsidR="00000000" w:rsidRPr="00000000" w:rsidDel="00000000">
        <w:rPr>
          <w:rtl w:val="0"/>
        </w:rPr>
        <w:t xml:space="preserve">16.8.</w:t>
      </w:r>
      <w:r w:rsidR="00000000" w:rsidRPr="00000000" w:rsidDel="00000000">
        <w:rPr>
          <w:rtl w:val="0"/>
        </w:rPr>
        <w:t xml:space="preserve"> apakšpunktā minētās atlīdzības (kompensācijas) maksājumu kontroli un pārskatīšanu, kā arī minēto atlīdzības (kompensācijas) maksājumu pārmaksas novēršanu un atgūšanu, ievērojot Eiropas Savienības līmenī noteikto pārbaužu regularitāti, bet ne retāk kā reizi trijos gados un pilnvarojuma akta darbības perioda beigās.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Komercdarbības atbalsts, kas piešķirts šo noteikumu ietvaros, nevar tikt apvienots ar finansējumu citas atbalsta programmas ietvaros, kam finansējums tiek piešķirts no vietējiem, reģionālajiem, valsts vai Eiropas Savienības finanšu līdzekļiem par tām pašām attiecināmajām izmaksām. Piešķirto komercdarbības atbalstu drīkst kumulēt ar citu komercdarbības atbalstu, ja vien atbalsts attiecas uz dažādām attiecināmajām izmaksām un pēc atbalstu apvienošanas atbalsta vienībai vai izmaksu pozīcijai attiecīgā maksimālā atbalsta intensitāte nepārsniedz 100 procentus.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 </w:t>
      </w:r>
      <w:r w:rsidR="00000000" w:rsidRPr="00000000" w:rsidDel="00000000">
        <w:rPr>
          <w:rtl w:val="0"/>
        </w:rPr>
        <w:t xml:space="preserve">Pasākuma ietvaros lēmumu par atbalsta piešķiršanu saskaņā ar Eiropas Komisijas lēmumu Nr. 2012/21/ES, regulu Nr. 2023/2831 un regulu Nr. 651/2014 pieņem līdz 2027. gada 30. jūnijam.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 </w:t>
      </w:r>
      <w:r w:rsidR="00000000" w:rsidRPr="00000000" w:rsidDel="00000000">
        <w:rPr>
          <w:rtl w:val="0"/>
        </w:rPr>
        <w:t xml:space="preserve">Komercdarbības atbalsta piešķiršanas brīdis ir diena, kad pieņemts sadarbības iestādes lēmums par projekta iesnieguma apstiprināšanu vai izdots atzinums par lēmumā noteikto nosacījumu izpildi, ja iepriekš bijis pieņemts lēmums par projekta iesnieguma apstiprināšanu ar nosacījumu.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19.</w:t>
      </w:r>
      <w:r w:rsidR="00000000" w:rsidRPr="00000000" w:rsidDel="00000000">
        <w:rPr>
          <w:rtl w:val="0"/>
        </w:rPr>
        <w:t xml:space="preserve"> punktā minētos nosacījumus pārbauda uz projekta iesnieguma iesniegšanas brīdi sadarbības iestādē un uz komercdarbības atbalsta piešķiršanas brīdi.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 </w:t>
      </w:r>
      <w:r w:rsidR="00000000" w:rsidRPr="00000000" w:rsidDel="00000000">
        <w:rPr>
          <w:rtl w:val="0"/>
        </w:rPr>
        <w:t xml:space="preserve">Ja projekta darbības (izņemot šo noteikumu </w:t>
      </w:r>
      <w:r w:rsidR="00000000" w:rsidRPr="00000000" w:rsidDel="00000000">
        <w:rPr>
          <w:rtl w:val="0"/>
        </w:rPr>
        <w:t xml:space="preserve">23.1.</w:t>
      </w:r>
      <w:r w:rsidR="00000000" w:rsidRPr="00000000" w:rsidDel="00000000">
        <w:rPr>
          <w:rtl w:val="0"/>
        </w:rPr>
        <w:t xml:space="preserve"> apakšpunktā minētās izmaksas) ir uzsāktas un izmaksas radušās pirms projekta iesnieguma iesniegšanas sadarbības iestādē, projekta iesniegums tiek noraidīts.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 </w:t>
      </w:r>
      <w:r w:rsidR="00000000" w:rsidRPr="00000000" w:rsidDel="00000000">
        <w:rPr>
          <w:rtl w:val="0"/>
        </w:rPr>
        <w:t xml:space="preserve">Finansējuma saņēmējs nodrošina, ka ar komercdarbības atbalstu, kas saņemts atbilstoši regulas Nr. 651/2014 nosacījumiem, saistīto projekta dokumentāciju glabā 10 gadus no dienas, kad piešķirts komercdarbības atbalsts.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 </w:t>
      </w:r>
      <w:r w:rsidR="00000000" w:rsidRPr="00000000" w:rsidDel="00000000">
        <w:rPr>
          <w:rtl w:val="0"/>
        </w:rPr>
        <w:t xml:space="preserve">Sadarbības iestāde informāciju un apliecinošos dokumentus par sniegto komercdarbības atbalstu, kas piešķirts atbilstoši regulas Nr. 651/2014 nosacījumiem, glabā 10 gadus no dienas, kad piešķirts pēdējais atbalsts.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 </w:t>
      </w:r>
      <w:r w:rsidR="00000000" w:rsidRPr="00000000" w:rsidDel="00000000">
        <w:rPr>
          <w:rtl w:val="0"/>
        </w:rPr>
        <w:t xml:space="preserve">Sadarbības iestāde nodrošina komercdarbības atbalsta pārredzamības prasību izpildi atbilstoši regulas Nr. 651/2014 9. panta 1. un 4. punktam un atbilstoši normatīvajam aktam par kārtību, kādā publicē informāciju par sniegto komercdarbības atbalstu un piešķir un anulē elektroniskās sistēmas lietošanas tiesības.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 </w:t>
      </w:r>
      <w:r w:rsidR="00000000" w:rsidRPr="00000000" w:rsidDel="00000000">
        <w:rPr>
          <w:rtl w:val="0"/>
        </w:rPr>
        <w:t xml:space="preserve">Ja tiek pārkāptas regulas Nr. 651/2014 prasības, finansējuma saņēmējam ir pienākums atmaksāt sadarbības iestādei projekta ietvaros saņemto nelikumīgo komercdarbības atbalstu, savukārt, ja tiek pārkāptas regulas Nr. 2023/2831 prasības, finansējuma saņēmējam ir pienākums atmaksāt sadarbības iestādei projekta ietvaros saņemto nelikumīgo </w:t>
      </w:r>
      <w:r w:rsidR="00000000" w:rsidRPr="00000000" w:rsidDel="00000000">
        <w:rPr>
          <w:i w:val="1"/>
          <w:rtl w:val="0"/>
        </w:rPr>
        <w:t xml:space="preserve">de minimis</w:t>
      </w:r>
      <w:r w:rsidR="00000000" w:rsidRPr="00000000" w:rsidDel="00000000">
        <w:rPr>
          <w:rtl w:val="0"/>
        </w:rPr>
        <w:t xml:space="preserve"> atbalstu. Atmaksu veic kopā ar procentiem no līdzekļiem, kas ir brīvi no komercdarbības atbalsta, saskaņā ar Komercdarbības atbalsta kontroles likuma IV vai V nodaļu.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VII.</w:t>
      </w:r>
      <w:r w:rsidR="00000000" w:rsidRPr="00000000" w:rsidDel="00000000">
        <w:rPr>
          <w:rtl w:val="0"/>
        </w:rPr>
        <w:t xml:space="preserve"> </w:t>
      </w:r>
      <w:r w:rsidR="00000000" w:rsidRPr="00000000" w:rsidDel="00000000">
        <w:rPr>
          <w:rStyle w:val="paragraph_header"/>
          <w:b w:val="1"/>
          <w:rtl w:val="0"/>
        </w:rPr>
        <w:t xml:space="preserve">Noslēguma jautājums</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 </w:t>
      </w:r>
      <w:r w:rsidR="00000000" w:rsidRPr="00000000" w:rsidDel="00000000">
        <w:rPr>
          <w:rtl w:val="0"/>
        </w:rPr>
        <w:t xml:space="preserve">Ja tiek piemērots šo noteikumu </w:t>
      </w:r>
      <w:r w:rsidR="00000000" w:rsidRPr="00000000" w:rsidDel="00000000">
        <w:rPr>
          <w:rtl w:val="0"/>
        </w:rPr>
        <w:t xml:space="preserve">6.</w:t>
      </w:r>
      <w:r w:rsidR="00000000" w:rsidRPr="00000000" w:rsidDel="00000000">
        <w:rPr>
          <w:rtl w:val="0"/>
        </w:rPr>
        <w:t xml:space="preserve"> punkts, šo noteikumu </w:t>
      </w:r>
      <w:r w:rsidR="00000000" w:rsidRPr="00000000" w:rsidDel="00000000">
        <w:rPr>
          <w:rtl w:val="0"/>
        </w:rPr>
        <w:t xml:space="preserve">7.</w:t>
      </w:r>
      <w:r w:rsidR="00000000" w:rsidRPr="00000000" w:rsidDel="00000000">
        <w:rPr>
          <w:rtl w:val="0"/>
        </w:rPr>
        <w:t xml:space="preserve"> punktu nepiemēro.</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25-TA-205</w:t>
    </w:r>
    <w:r>
      <w:br/>
    </w:r>
    <w:r w:rsidR="00000000" w:rsidRPr="00000000" w:rsidDel="00000000">
      <w:rPr>
        <w:rtl w:val="0"/>
      </w:rPr>
      <w:t xml:space="preserve">Izdrukāts 29.07.2026. 22.53 - 1.0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25-TA-205</w:t>
    </w:r>
    <w:r>
      <w:br/>
    </w:r>
    <w:r w:rsidR="00000000" w:rsidRPr="00000000" w:rsidDel="00000000">
      <w:rPr>
        <w:rtl w:val="0"/>
      </w:rPr>
      <w:t xml:space="preserve">Izdrukāts 29.07.2026. 22.53 - 1.0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7">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noteikumu_projekts_25-TA-205.docx</dc:title>
</cp:coreProperties>
</file>

<file path=docProps/custom.xml><?xml version="1.0" encoding="utf-8"?>
<Properties xmlns="http://schemas.openxmlformats.org/officeDocument/2006/custom-properties" xmlns:vt="http://schemas.openxmlformats.org/officeDocument/2006/docPropsVTypes"/>
</file>