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98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11. februārī (prot. Nr. 6 20.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4.3.5.1.pasākuma "Sabiedrībā balstītu sociālo pakalpojumu pieejamības palielināšana" ceturtās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(turpmāk – pasākums) ceturto kārtu;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ceturtās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ceturtajai kārtai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ceturtās kārtas 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 pasākuma ceturtajā kārtā.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ceturtās kārtas mērķis ir sabiedrībā balstītu sociālo pakalpojumu pieejamības palielināšana mērķa grupas personām, lai pilnveidotu viņu sociālās prasmes un uzlabotu funkcionālās spējas.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ceturtās kārtas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pilngadīgas personas ar garīga rakstura traucējumiem, kurām ir noteikta I vai II invaliditātes grupa;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bērni ar funkcionāliem traucējumiem, kuriem ir noteikta invaliditāte un kuri dzīvo ģimenēs;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minētajās mērķa grupās iekļauto personu vecāki, aizbildņi, audžuģimenes vai neformālie aprūpētāji.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ceturtās kārtas ietvaros līdz 2029. gada 31. decembrim ir sasniedzams šāds programmas uzraudzības rādītājs: programmas iznākuma rādītājs – sociālās atstumtības riskam pakļautas personas, kuras ir saņēmušas sabiedrībā balstītus sociālos pakalpojumus, –  660 personas.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ceturtās kārtas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ceturto kārtu īsteno atklātas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Sadarbības iestāde atklātu projektu iesniegumu atlasi organizē, atlases termiņus saskaņojot ar Labklājības ministriju kā atbildīgo iestādi. Atklātu projektu iesniegumu atlasi izsludina par visu pasākuma ceturtajai kārtai pieejamo kopējo attiecināmo finansējumu. Ja projektu iesniegumu atlasē neapstiprina projektu iesniegumus par visu pieejamo kopējo attiecināmo finansējumu, sadarbības iestāde var rīkot atkārtotu projektu iesniegumu atlasi par atlikušo pasākuma ceturtajai kārtai pieejamo kopējo attiecināmo finansējumu, saskaņojot to ar Labklājības ministriju kā atbildīgo iestādi.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ceturtajai kārtai plānotais un pieejamais kopējais attiecināmais finansējums ir 5 622 757 </w:t>
      </w:r>
      <w:r w:rsidR="00000000" w:rsidRPr="00000000" w:rsidDel="00000000">
        <w:rPr>
          <w:i w:val="1"/>
          <w:rtl w:val="0"/>
        </w:rPr>
        <w:t xml:space="preserve">euro</w:t>
      </w:r>
      <w:r w:rsidR="00000000" w:rsidRPr="00000000" w:rsidDel="00000000">
        <w:rPr>
          <w:rtl w:val="0"/>
        </w:rPr>
        <w:t xml:space="preserve">, tai skaitā Eiropas Sociālā fonda Plus finansējums – 4 779 343 </w:t>
      </w:r>
      <w:r w:rsidR="00000000" w:rsidRPr="00000000" w:rsidDel="00000000">
        <w:rPr>
          <w:i w:val="1"/>
          <w:rtl w:val="0"/>
        </w:rPr>
        <w:t xml:space="preserve">euro </w:t>
      </w:r>
      <w:r w:rsidR="00000000" w:rsidRPr="00000000" w:rsidDel="00000000">
        <w:rPr>
          <w:rtl w:val="0"/>
        </w:rPr>
        <w:t xml:space="preserve">un nacionālais līdzfinansējums – 843 414 </w:t>
      </w:r>
      <w:r w:rsidR="00000000" w:rsidRPr="00000000" w:rsidDel="00000000">
        <w:rPr>
          <w:i w:val="1"/>
          <w:rtl w:val="0"/>
        </w:rPr>
        <w:t xml:space="preserve">euro</w:t>
      </w:r>
      <w:r w:rsidR="00000000" w:rsidRPr="00000000" w:rsidDel="00000000">
        <w:rPr>
          <w:rtl w:val="0"/>
        </w:rPr>
        <w:t xml:space="preserve">, ko veido valsts un pašvaldību budžeta finansējums. Pašvaldību budžetu kā līdzfinansējuma avotu projektā plāno šo noteikumu 14.1. apakšpunktā minētie projektu iesniedzēji, savukārt valsts budžetu – šo noteikumu 14.2. apakšpunktā minētie projektu iesniedzēji.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ceturtās kārtas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Maksimālais attiecināmais Eiropas Sociālā fonda Plus finansējuma apmērs nepārsniedz 85 procentus no projekta kopējā attiecināmā finansējuma un nacionālais līdzfinansējums nav mazāks par 15 procentiem no projektam plānotā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ceturtās kārtas projekta minimālā attiecināmo izmaksu kopsumma nav ierobežota. Projekta maksimālā attiecināmo izmaksu kopsumma nepārsniedz 426 300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Minimālais vienā projektā iesaistāmo šo noteikumu 3.1. un 3.2. apakšpunktā minēto mērķa grupas personu skaits ir piecas personas, bet maksimālais – 50. Projekta attiecināmo izmaksu kopsummu aprēķina, reizinot projektā iesaistīto šo noteikumu 3.1. un 3.2. apakšpunktā minēto mērķa grupas personu skaitu ar indikatīvajām izmaksām vienai mērķa grupas personai, kas nepārsniedz 8526 </w:t>
      </w:r>
      <w:r w:rsidR="00000000" w:rsidRPr="00000000" w:rsidDel="00000000">
        <w:rPr>
          <w:i w:val="1"/>
          <w:rtl w:val="0"/>
        </w:rPr>
        <w:t xml:space="preserve">euro</w:t>
      </w:r>
      <w:r w:rsidR="00000000" w:rsidRPr="00000000" w:rsidDel="00000000">
        <w:rPr>
          <w:rtl w:val="0"/>
        </w:rPr>
        <w:t xml:space="preserve">. Projektā var iesaistīt šo noteikumu 3.1. un 3.2. apakšpunktā minētās mērķa grupas personas, kurām ar pašvaldības sociālā dienesta lēmumu ir piešķirts attiecīgais šo noteikumu </w:t>
      </w:r>
      <w:r w:rsidR="00000000" w:rsidRPr="00000000" w:rsidDel="00000000">
        <w:rPr>
          <w:rtl w:val="0"/>
        </w:rPr>
        <w:t xml:space="preserve">17.1.1. </w:t>
      </w:r>
      <w:r w:rsidR="00000000" w:rsidRPr="00000000" w:rsidDel="00000000">
        <w:rPr>
          <w:rtl w:val="0"/>
        </w:rPr>
        <w:t xml:space="preserve">apakšpunktā</w:t>
      </w:r>
      <w:r w:rsidR="00000000" w:rsidRPr="00000000" w:rsidDel="00000000">
        <w:rPr>
          <w:rtl w:val="0"/>
        </w:rPr>
        <w:t xml:space="preserve"> minētais sabiedrībā balstītais sociālais pakalpojums. Projektā var iesaistīt arī lielāku šo noteikumu 3.1. un 3.2. apakšpunktā minēto mērķa grupas personu skaitu, ja netiek pārsniegta šo noteikumu 11. punktā minētā projekta maksimālā attiecināmo izmaksu kopsumma. Projektā šo noteikumu </w:t>
      </w:r>
      <w:r w:rsidR="00000000" w:rsidRPr="00000000" w:rsidDel="00000000">
        <w:rPr>
          <w:rtl w:val="0"/>
        </w:rPr>
        <w:t xml:space="preserve">17.1.2. </w:t>
      </w:r>
      <w:r w:rsidR="00000000" w:rsidRPr="00000000" w:rsidDel="00000000">
        <w:rPr>
          <w:rtl w:val="0"/>
        </w:rPr>
        <w:t xml:space="preserve">apakšpunktā</w:t>
      </w:r>
      <w:r w:rsidR="00000000" w:rsidRPr="00000000" w:rsidDel="00000000">
        <w:rPr>
          <w:rtl w:val="0"/>
        </w:rPr>
        <w:t xml:space="preserve"> minētos pakalpojumus finansē vienai šo noteikumu 3.1. vai 3.2. apakšpunktā minētajai mērķa grupas personai paredzēto indikatīvo izmaksu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ceturtās kārtas ietvaros izmaksas ir attiecināmas, ja tās atbilst šajos noteikumos minētām izmaksu pozīcijām un ir radušās no dienas, kad noslēgts līgums vai vienošanās par projekta īstenošanu.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pasākuma ceturtās kārtas ietvaros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 vai tās izveidots sociālo pakalpojumu sniedzējs;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cits sociālo pakalpojumu sniedzējs.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iesniedz projekta iesniegumu par šo noteikumu 17.1. apakšpunktā minēto sabiedrībā balstītu sociālo pakalpojumu šo noteikumu 3. punktā minētajām mērķa grupas personām, kura sniegšanai sociālo pakalpojumu sniedzējs ir reģistrēts sociālo pakalpojumu sniedzēju reģistrā. Sociālo pakalpojumu sniedzēju reģistrā ir jābūt reģistrētam gan sociālo pakalpojumu sniedzējam, gan sniegšanas vietai, gan konkrētajam pakalpojuma veidam attiecīgajai mērķa grupai. Projekta iesniedzējs, kura projekta iesniegums ir apstiprināts, ir finansējuma saņēmējs (turpmāk –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katrā projektu iesniegumu atlasē var iesniegt projekta iesniegumu par sabiedrībā balstītu sociālo pakalpojumu 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administratīvajā teritorijā, ja projekta iesniedzējs ir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minētais projekta iesniedzējs;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vienā vai vairākās plānošanas reģiona teritorijā esošajās pašvaldībās, ja projekta iesniedzējs ir šo noteikumu </w:t>
      </w:r>
      <w:r w:rsidR="00000000" w:rsidRPr="00000000" w:rsidDel="00000000">
        <w:rPr>
          <w:rtl w:val="0"/>
        </w:rPr>
        <w:t xml:space="preserve">14.2. </w:t>
      </w:r>
      <w:r w:rsidR="00000000" w:rsidRPr="00000000" w:rsidDel="00000000">
        <w:rPr>
          <w:rtl w:val="0"/>
        </w:rPr>
        <w:t xml:space="preserve">apakšpunktā</w:t>
      </w:r>
      <w:r w:rsidR="00000000" w:rsidRPr="00000000" w:rsidDel="00000000">
        <w:rPr>
          <w:rtl w:val="0"/>
        </w:rPr>
        <w:t xml:space="preserve"> minētais projekta iesniedzējs. Ja sabiedrībā balstītu sociālo pakalpojumu sniegšanu ir plānots nodrošināt vairākos plānošanas reģionos, projekta iesniedzējs iesniedz atsevišķu projekta iesniegumu par sabiedrībā balstītu sociālo pakalpojumu sniegšanu katrā no plānošanas reģioniem.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ceturtās kārtas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sabiedrībā balstītu sociālo pakalpojumu sniegšana šo noteikumu 3. punktā minētajām mērķa grupas personām: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sociālās rehabilitācijas pakalpojumi un īslaicīgās aprūpes jeb atelpas brīža pakalpojumi šo noteikumu 3.1. un 3.2. apakšpunktā minētajām mērķa grupas personām;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sociālās rehabilitācijas pakalpojumi šo noteikumu 3.3. apakšpunktā minētajām mērķa grupas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materiāltehniskā nodrošinājuma iegāde vai noma šo noteikumu </w:t>
      </w:r>
      <w:r w:rsidR="00000000" w:rsidRPr="00000000" w:rsidDel="00000000">
        <w:rPr>
          <w:rtl w:val="0"/>
        </w:rPr>
        <w:t xml:space="preserve">17.1. </w:t>
      </w:r>
      <w:r w:rsidR="00000000" w:rsidRPr="00000000" w:rsidDel="00000000">
        <w:rPr>
          <w:rtl w:val="0"/>
        </w:rPr>
        <w:t xml:space="preserve">apakšpunktā</w:t>
      </w:r>
      <w:r w:rsidR="00000000" w:rsidRPr="00000000" w:rsidDel="00000000">
        <w:rPr>
          <w:rtl w:val="0"/>
        </w:rPr>
        <w:t xml:space="preserve"> minēto sabiedrībā balstītu sociālo pakalpojumu 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speciālistu supervīzijas un mācības darbam ar šo noteikumu 3. punktā minētajām mērķa grupas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komunikācjas un vizuālās identitātes prasību nodrošināšanas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ceturtās kārtas ietvaros šo noteikumu 17. punktā minēto atbalstāmo darbību īstenošanai plāno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 </w:t>
      </w:r>
      <w:r w:rsidR="00000000" w:rsidRPr="00000000" w:rsidDel="00000000">
        <w:rPr>
          <w:rtl w:val="0"/>
        </w:rPr>
        <w:t xml:space="preserve">apakšpunktā</w:t>
      </w:r>
      <w:r w:rsidR="00000000" w:rsidRPr="00000000" w:rsidDel="00000000">
        <w:rPr>
          <w:rtl w:val="0"/>
        </w:rPr>
        <w:t xml:space="preserve"> minētās tiešās attiecināmās personāla izmaksas ietver finansējuma saņēmēja projekta vadības un īstenošanas personāla izmaksas, izņemot virsstundas. Ja personāla iesaiste projektā ir nodrošināta saskaņā ar daļlaika izmaksu attiecināmības principu, attiecināma ir ne mazāka kā 30 procentu noslodze. Ja personāls ir nodarbināts nepilnu darba laiku, atlīdzības izmaksas nosakāmas atbilstoši nepilna darba laika noslodzei. Personāla atlīdzības izmaksām jābūt atbilstošām finansējuma saņēmēja iestādes atlīdzības sistēmā noteiktajai samaksai par līdzvērtīga darba veikšanu vai atbilstošām vidējai darba samaksai saskaņā ar Latvijas Republikas Centrālās statistikas pārvaldes datiem par līdzvērtīgu darbu attiecīgajā nozarē.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 </w:t>
      </w:r>
      <w:r w:rsidR="00000000" w:rsidRPr="00000000" w:rsidDel="00000000">
        <w:rPr>
          <w:rtl w:val="0"/>
        </w:rPr>
        <w:t xml:space="preserve">apakšpunktā</w:t>
      </w:r>
      <w:r w:rsidR="00000000" w:rsidRPr="00000000" w:rsidDel="00000000">
        <w:rPr>
          <w:rtl w:val="0"/>
        </w:rPr>
        <w:t xml:space="preserve"> minētās pārējās attiecināmās izmaksas finansējuma saņēmējs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56. panta 1. punktu plāno kā vienu izmaksu pozīciju 40 procentu apmērā no šo noteikumu </w:t>
      </w:r>
      <w:r w:rsidR="00000000" w:rsidRPr="00000000" w:rsidDel="00000000">
        <w:rPr>
          <w:rtl w:val="0"/>
        </w:rPr>
        <w:t xml:space="preserve">18.1. </w:t>
      </w:r>
      <w:r w:rsidR="00000000" w:rsidRPr="00000000" w:rsidDel="00000000">
        <w:rPr>
          <w:rtl w:val="0"/>
        </w:rPr>
        <w:t xml:space="preserve">apakšpunktā</w:t>
      </w:r>
      <w:r w:rsidR="00000000" w:rsidRPr="00000000" w:rsidDel="00000000">
        <w:rPr>
          <w:rtl w:val="0"/>
        </w:rPr>
        <w:t xml:space="preserve"> minētajām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attiecināmām izmaksām saskaņā ar regulas 2021/1060 64. panta 1. punkta "c" apakšpunktā minētajiem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Pasākuma ceturtās kārtas ietvaros šo noteikumu 17. punktā minēto atbalstāmo darbību izmaksu veikšanai sadarbības iestāde finansējuma saņēmējam veic avansa un starpposma maksājumus atbilstoši normatīvajiem aktiem par valsts budžeta līdzekļu plānošanas kārtību Eiropas Savienības fondu projektu īstenošanai un maksājumu veikšanai 2021.–2027. gada plānošanas periodā, nodrošinot avansa un starpposma maksājumu kopsummu, kas nepārsniedz 90 procentus no Eiropas Sociālā fonda Plus un valsts budžeta attiecināmā finansējuma.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22. punktā minētos starpposma maksājumus sadarbības iestāde veic arī laikposmā, kad finansējuma saņēmējs izmanto saņemtā avansa maksājumu. Finansējuma saņēmējs avansa pieprasījumu sagatavo un sadarbības iestāde to apstiprina, ņemot vērā nosacījumu, ka plānotā avansa apmērs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minētajam finansējuma saņēmējam ir jāizmanto sešu mēnešu laikā no tā saņemšanas dienas saimnieciskā gada ietvaros, bet šo noteikumu </w:t>
      </w:r>
      <w:r w:rsidR="00000000" w:rsidRPr="00000000" w:rsidDel="00000000">
        <w:rPr>
          <w:rtl w:val="0"/>
        </w:rPr>
        <w:t xml:space="preserve">14.2. </w:t>
      </w:r>
      <w:r w:rsidR="00000000" w:rsidRPr="00000000" w:rsidDel="00000000">
        <w:rPr>
          <w:rtl w:val="0"/>
        </w:rPr>
        <w:t xml:space="preserve">apakšpunktā</w:t>
      </w:r>
      <w:r w:rsidR="00000000" w:rsidRPr="00000000" w:rsidDel="00000000">
        <w:rPr>
          <w:rtl w:val="0"/>
        </w:rPr>
        <w:t xml:space="preserve">  minētajam finansējuma saņēmējam – sešu mēnešu laikā no tā saņemšanas dienas. Sadarbības iestāde var piešķirt finansējuma saņēmējam avansu līdz 30 procentiem no Eiropas Sociālā fonda Plus finansējuma un, ja tas ir paredzēts projektā, valsts budžeta līdzfinansējuma kopsummas, ievērojot, ka avansu var izmaksāt vairākos maksājumos.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un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Pirms šo noteikumu </w:t>
      </w:r>
      <w:r w:rsidR="00000000" w:rsidRPr="00000000" w:rsidDel="00000000">
        <w:rPr>
          <w:rtl w:val="0"/>
        </w:rPr>
        <w:t xml:space="preserve">17.1. </w:t>
      </w:r>
      <w:r w:rsidR="00000000" w:rsidRPr="00000000" w:rsidDel="00000000">
        <w:rPr>
          <w:rtl w:val="0"/>
        </w:rPr>
        <w:t xml:space="preserve">apakšpunktā</w:t>
      </w:r>
      <w:r w:rsidR="00000000" w:rsidRPr="00000000" w:rsidDel="00000000">
        <w:rPr>
          <w:rtl w:val="0"/>
        </w:rPr>
        <w:t xml:space="preserve"> minēto sabiedrībā balstītu sociālo pakalpojumu sniegšanas finansējuma saņēmējs atbilstoši normatīvajiem aktiem par prasībām sociālo pakalpojumu sniedzējiem nosaka šo noteikumu 3.1. un 3.2. apakšpunktā minētās mērķa grupas personas sociālās problēmas, kuras tiks risinātas, izmantojot sociālo pakalpojumu, un atbilstoši sniedzamā pakalpojuma veidam izstrādā individuālo sociālās rehabilitācijas, sociālās aprūpes, bērna attīstības vai personas vai ģimenes atbalsta plānu (turpmāk – individuālais atbalsta plāns).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17.1.1. </w:t>
      </w:r>
      <w:r w:rsidR="00000000" w:rsidRPr="00000000" w:rsidDel="00000000">
        <w:rPr>
          <w:rtl w:val="0"/>
        </w:rPr>
        <w:t xml:space="preserve">apakšpunktā</w:t>
      </w:r>
      <w:r w:rsidR="00000000" w:rsidRPr="00000000" w:rsidDel="00000000">
        <w:rPr>
          <w:rtl w:val="0"/>
        </w:rPr>
        <w:t xml:space="preserve"> minētos sabiedrībā balstītos sociālos pakalpojumus īsteno finansējuma saņēmējs atbilstoši normatīvajiem aktiem par prasībām sociālo pakalpojumu sniedzējiem un saskaņā ar šo noteikumu 24. punktā minētajiem individuālajiem atbalsta plāniem, ja nepieciešams, piesaistot citu pakalpojumu sniedzēju.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Sniedzot atelpas brīža pakalpojumu šo noteikumu 3.1. un 3.2. apakšpunktā minētajām mērķa grupas personām, finansējuma saņēmējs ievēro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atelpas brīža pakalpojumu sniedz līdz 30 diennaktīm gadā;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vienas diennakts laikā atelpas brīža pakalpojumu nevar saņemt vienlaikus ar citiem sociālās rehabilitācijas pakalpojumiem;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3.2. apakšpunktā minētajām mērķa grupas personām atelpas brīža pakalpojumu sniedz, ja tām ir Veselības un darbspēju ekspertīzes ārstu valsts komisijas atzinums par īpašas kopšanas nepieciešamību sakarā ar smagiem funkcionāliem traucējumiem.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17.1.2. apakšpunktā minētos sociālās rehabilitācijas pakalpojumus var saņemt ne vairāk kā divas personas, kas iesaistītas vienas šo noteikumu 3.1. un 3.2. apakšpunktā minētās mērķa grupas personas aprūpē, – vecāki, aizbildņi, audžuģimenes vai neformālie aprūpētāji.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Sabiedrībā balstītus sociālos pakalpojumus projekta kopējo attiecināmo izmaksu ietvaros var sniegt līdz projekta īstenošanas beigām, bet ne ilgāk kā 24 mēnešus vienai šo noteikumu 3. punktā minētajai mērķa grupas personai.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 šajos noteikumos paredzētās atbalstāmās darbības un projektā sniegto atbalstu šo noteikumu 3. punktā minētās mērķa grupas personām nefinansē, kā arī to nav plānots finansēt no citiem valsts, pašvaldības vai ārvalstu finanšu atbalsta instrumentiem, un nodrošina dubultā finansējuma neiestāšanos;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komunikācijas un vizuālās identitātes prasības, kas noteiktas regulas 2021/1060 47. un 50. pantā un normatīvajos aktos par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savā tīmekļvietnē, ja tāda ir, un sociālajos tīklos ievieto informāciju par projekta īstenošanu un aktualizē to, tiklīdz pieejama jaunāka informācija, bet ne retāk kā reizi sešos mēnešos;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 </w:t>
      </w:r>
      <w:r w:rsidR="00000000" w:rsidRPr="00000000" w:rsidDel="00000000">
        <w:rPr>
          <w:rtl w:val="0"/>
        </w:rPr>
        <w:t xml:space="preserve">apakšpunktā</w:t>
      </w:r>
      <w:r w:rsidR="00000000" w:rsidRPr="00000000" w:rsidDel="00000000">
        <w:rPr>
          <w:rtl w:val="0"/>
        </w:rPr>
        <w:t xml:space="preserve"> minētās atbalstāmās darbības īstenošanai un maksājuma pieprasījumu sagatavošanai saskaņā ar normatīvajiem aktiem, kas nosaka Eiropas Savienības fondu projektu pārbaužu veikšanas kārtību 2021.–2027. gada plānošanas periodā, veic šo noteikumu 3. punktā minēto mērķa grupu personu atbilstības pārbaudi šo noteikumu </w:t>
      </w:r>
      <w:r w:rsidR="00000000" w:rsidRPr="00000000" w:rsidDel="00000000">
        <w:rPr>
          <w:rtl w:val="0"/>
        </w:rPr>
        <w:t xml:space="preserve">17.1.1.</w:t>
      </w:r>
      <w:r w:rsidR="00000000" w:rsidRPr="00000000" w:rsidDel="00000000">
        <w:rPr>
          <w:rtl w:val="0"/>
        </w:rPr>
        <w:t xml:space="preserve">  un </w:t>
      </w:r>
      <w:r w:rsidR="00000000" w:rsidRPr="00000000" w:rsidDel="00000000">
        <w:rPr>
          <w:rtl w:val="0"/>
        </w:rPr>
        <w:t xml:space="preserve">17.1.2. </w:t>
      </w:r>
      <w:r w:rsidR="00000000" w:rsidRPr="00000000" w:rsidDel="00000000">
        <w:rPr>
          <w:rtl w:val="0"/>
        </w:rPr>
        <w:t xml:space="preserve">apakšpunktā</w:t>
      </w:r>
      <w:r w:rsidR="00000000" w:rsidRPr="00000000" w:rsidDel="00000000">
        <w:rPr>
          <w:rtl w:val="0"/>
        </w:rPr>
        <w:t xml:space="preserve">  minēto sabiedrībā balstītu sociālo pakalpojumu saņemšanai, kā arī veic minēto personu identificēšanu un uzskaiti, norādot vārdu, uzvārdu, personas kodu, kontaktinformāciju un veselības datus par atbilstību šo noteikumu 3.1. un 3.2. apakšpunktā minētajām mērķa grupām;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uzkrāj, uzskaita un iesniedz sadarbības iestādē apkopotus datus par atbalstu saņēmušajām šo noteikumu 3.1. un 3.2. apakšpunktā minētajām personām atbilstoši Eiropas Parlamenta un Padomes 2021. gada 24. jūnija Regulas (ES) 2021/1057, ar ko izveido Eiropas Sociālo fondu Plus (ESF+) un atceļ Regulu (ES) Nr. 1296/2013, 1. pielikumam un Ministru kabineta 2023. gada 21. marta noteikumu Nr. 135 "Eiropas Savienības fondu projektu pārbaužu veikšanas kārtība 2021.–2027. gada plānošanas periodā" 1. pielikumam;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uzkrāj datus par šādiem 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saņēmušo sociālās atstumtības un nabadzības riskam pakļauto iedzīvotāju skaits;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specifiskus atbalsta pakalpojumus saņēmušo personu ar invaliditāti skaits;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ceturtās kārtas ietvaros neplāno atbalstu tādām darbībām, kurām atbalsts atbilstoši Komercdarbības atbalsta kontroles likuma 5. pantam būtu kvalificējams kā komercdarbības atbalsts. Ja projekta īstenošanas laikā konstatē, ka sniegtais atbalsts ir kvalificējams kā komercdarbības atbalsts, finansējuma saņēmējs atmaksā sadarbības iestādei nelikumīgo atbalstu kopā ar procentiem no līdzekļiem, kas ir brīvi no komercdarbības atbalsta, saskaņā ar Komercdarbības atbalsta kontroles likuma IV vai V nodaļu.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finansējuma saņēmējs ir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minētā pašvaldība vai tās izveidots sociālo pakalpojumu sniedzējs, tas papildus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minētajam: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piesaista šo noteikumu 17. punktā minēto atbalstāmo darbību veikšanai nepieciešamo personālu, nodrošinot, ka projekta īstenošanas laikā ir ievēroti interešu konflikta, korupcijas un krāpšanas novēršanas nosacījumi, vismaz paredzot, ka projekta vadībā un īstenošanā iesaistītie darbinieki ir: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informēti par korupcijas un interešu konflikta novēršanas jautājumiem un krāpšanas pazīmēm, pienākumu ziņot par konstatētajām aizdomām, kā arī ir informēti par ziņotāju aizsardzību atbilstoši Trauksmes celšanas likumam;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parakstījuši apliecinājumus par interešu konflikta neesību saskaņā ar Eiropas Parlamenta un Padomes 2024. gada 23. septembra Regulas (ES, Euratom) 2024/2509 par finanšu noteikumiem, ko piemēro Savienības vispārējam budžetam (pārstrādāta redakcija), 61. pantu un publisko iepirkumu regulējošiem normatīvajiem aktiem;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publiskos iepirkumus veic saskaņā ar normatīvajiem aktiem publisko iepirkumu jomā, īstenojot konkurenci nodrošinošu, pārredzamu, atklātu, nediskriminējošu konkursa procedūru un, kur tas ir attiecināms, īstenojot sociāli atbildīgus, inovatīvus un zaļos publiskos iepirkumus.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finansējuma saņēmējs ir šo noteikumu </w:t>
      </w:r>
      <w:r w:rsidR="00000000" w:rsidRPr="00000000" w:rsidDel="00000000">
        <w:rPr>
          <w:rtl w:val="0"/>
        </w:rPr>
        <w:t xml:space="preserve">14.2. </w:t>
      </w:r>
      <w:r w:rsidR="00000000" w:rsidRPr="00000000" w:rsidDel="00000000">
        <w:rPr>
          <w:rtl w:val="0"/>
        </w:rPr>
        <w:t xml:space="preserve">apakšpunktā</w:t>
      </w:r>
      <w:r w:rsidR="00000000" w:rsidRPr="00000000" w:rsidDel="00000000">
        <w:rPr>
          <w:rtl w:val="0"/>
        </w:rPr>
        <w:t xml:space="preserve"> minētais cits sociālo pakalpojumu sniedzējs, tas papildus šo noteikumu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minētajam: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piesaista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atbalstāmo darbību īstenošanai nepieciešamo personālu, nodrošinot, ka projekta īstenošanas laikā ir ievēroti interešu konflikta, korupcijas un krāpšanas novēršanas nosacījumi, un vismaz paredzot, ka projekta vadībā un īstenošanā iesaistītais personāls ir informēts par korupcijas un interešu konflikta novēršanas jautājumiem, krāpšanas pazīmēm un pienākumu ziņot par konstatētajām aizdomām, kā arī  par ziņotāju aizsardzību atbilstoši Trauksmes celšanas likumam;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iepirkumus atbilstoši Publisko iepirkumu likumam vai Ministru kabineta 2017. gada 28. februāra noteikumiem Nr. 104 "Noteikumi par iepirkuma procedūru un tās piemērošanas kārtību pasūtītāja finansētiem projektiem". Ja iepirkumi ir veicami atbilstoši iepriekš minēto noteikumu regulējumam, ievēro noteikumos noteikto līguma slēgšanas tiesību piešķiršanas procedūru un ierobežojumus šādu līgumu slēgšanai, tai skaitā aizpilda un paraksta minēto noteikumu 1. pielikumā noteikto apliecinājumu par interešu konflikta neesību un pievieno to iepirkuma līgumu slēgšanas dokumentācijai.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Pasākuma ceturtās kārtas ietvaros visi īstenotie projekti ir stratēģiski svarīgu projektu kopa. Lai informētu sabiedrību un veidotu tās izpratni par stratēģiski svarīgu projektu īstenošanu, atbildīgā iestāde izstrādā komunikācijas plānu, kurā iekļauj aktivitātes saistībā ar pasākuma ceturtās kārtas stratēģiski svarīgo projektu kopu, un ceturtās kārtas īstenošanas laikā organizē vismaz vienu aktivitāti, kurā iesaista Eiropas Komisijas pārstāvniecību Latvijā, Labklājības ministriju, vadošo iestādi un sadarbības iestādi.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Pasākuma ceturtās kārtas ietvaros projektu īsteno ne ilgāk par 30 mēnešiem no dienas, kad noslēgta vienošanās vai līgums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Pasākuma ceturtās kārtas ietvaros projektu īsteno saskaņā ar vienošanos vai līgumu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24-TA-2837</w:t>
    </w:r>
    <w:r>
      <w:br/>
    </w:r>
    <w:r w:rsidR="00000000" w:rsidRPr="00000000" w:rsidDel="00000000">
      <w:rPr>
        <w:rtl w:val="0"/>
      </w:rPr>
      <w:t xml:space="preserve">Izdrukāts 29.07.2026. 22.37 - 1.0.VK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24-TA-2837</w:t>
    </w:r>
    <w:r>
      <w:br/>
    </w:r>
    <w:r w:rsidR="00000000" w:rsidRPr="00000000" w:rsidDel="00000000">
      <w:rPr>
        <w:rtl w:val="0"/>
      </w:rPr>
      <w:t xml:space="preserve">Izdrukāts 29.07.2026. 22.37 - 1.0.VK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noteikumu_projekts_24-TA-2837.docx</dc:title>
</cp:coreProperties>
</file>

<file path=docProps/custom.xml><?xml version="1.0" encoding="utf-8"?>
<Properties xmlns="http://schemas.openxmlformats.org/officeDocument/2006/custom-properties" xmlns:vt="http://schemas.openxmlformats.org/officeDocument/2006/docPropsVTypes"/>
</file>