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Narkotisko un psihotropo vielu un zāļu, kā arī prekursoru likumīgās aprites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Narkotisko un psihotropo vielu un zāļu, kā arī prekursoru likumīgās aprites likumā (Latvijas Republikas Saeimas un Ministru Kabineta Ziņotājs, 1996, 12. nr.; 1998, 15. nr.; 2000, 10. nr.; 2003, 15. nr.; 2006, 12. nr.; 2007, 12., 21. nr.; 2008, 16. nr.; Latvijas Vēstnesis, 2010, 183. nr.; 2012, 200. nr.; 2013, 213. nr.; 2019, 123., 248.A nr.; 2020, 123. nr.; 2021, 92.A., 246. nr.; 2025, 196.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48.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"vai neatļauti tās lietos";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Piemērojot administratīvo sodu par šā panta pirmajā daļā paredzēto pārkāpumu, pilngadīgu personu vienlaikus rakstveidā brīdina par kriminālatbildību, ja tā gada laikā pēc administratīvā soda piemērošanas neatļauti tās lietos."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"pārsūtīs vai lietos" ar vārdiem "vai pārsūtīs";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Piemērojot administratīvo sodu par šā panta pirmajā daļā paredzēto pārkāpumu, pilngadīgu personu vienlaikus rakstveidā brīdina par kriminālatbildību, ja tā gada laikā pēc administratīvā soda piemērošanas neatļauti lietos tādas jaunas psihoaktīvas vielas vai tās saturošus izstrādājumus, kuru aprite ir aizliegta vai ierobežota."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24-TA-1808</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24-TA-1808</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likumprojekts_(grozījumi)_24-TA-1808.docx</dc:title>
</cp:coreProperties>
</file>

<file path=docProps/custom.xml><?xml version="1.0" encoding="utf-8"?>
<Properties xmlns="http://schemas.openxmlformats.org/officeDocument/2006/custom-properties" xmlns:vt="http://schemas.openxmlformats.org/officeDocument/2006/docPropsVTypes"/>
</file>