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Kredītiestāžu un ieguldījumu brokeru sabiedrību darbības atjaunošanas un noregulējuma likumā (Latvijas Vēstnesis, 2015, 127. nr.; 2017, 47. nr.; 2019, 52. nr.; 2021, 193., 200. nr.; 2022, 94. nr.; 2024, 89. nr.; 2025, 52.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11. panta sestajā daļā: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3. punktu pēc vārda "nepārtrauktību" ar vārdiem "un digitālās darbības noturību";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17. punktu pēc vārda "nodrošināšanai" ar vārdiem un skaitļiem "tai skaitā tīklu un informācijas sistēmām atbilstoši Eiropas Parlamenta un Padomes 2022. gada 14. decembra regulai (ES) 2022/2554 par finanšu nozares digitālās darbības noturību un ar ko groza regulas (EK) Nr. 1060/2009, (ES) Nr. 648/2012, (ES) Nr. 600/2014, (ES) Nr. 909/2014 un (ES) 2016/1011".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129. pantu ar trešo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"(3) Šajā pantā minēto soda naudu ieskaita valsts pamatbudžetā."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7.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Eiropas Parlamenta un Padomes 2022. gada 14. decembra direktīvas (ES) 2022/2556, ar ko groza direktīvas 2009/65/EK, 2009/138/EK, 2011/61/ES, 2013/36/ES, 2014/59/ES, 2014/65/ES, (ES) 2015/2366 un (ES) 2016/2341 attiecībā uz finanšu nozares digitālās darbības noturību."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24-TA-2440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24-TA-2440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