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Pret Ukrainu vērstās Krievijas militārās agresijas dēļ piemēroto sankciju un pretpasākumu izraisīto ekonomisko seku pārvarēšanas atbalsta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Pret Ukrainu vērstās Krievijas militārās agresijas dēļ piemēroto sankciju un pretpasākumu izraisīto ekonomisko seku pārvarēšanas atbalsta likumā (Latvijas Vēstnesis, 2022, 110.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2. pantu šādā redakcijā: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 pants. Atbalsta saņēmēji, atbalsta veidi un atbalstu administrējošās iestādes</w:t>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Uz atbalstu var pretendēt saimnieciskās darbības veicēji, kurus ietekmējušas militārās agresijas sekas, kas izpaužas kā pieprasījuma un apgrozījuma samazināšanās, esošo līgumu darbības pārtraukšana, traucējumi piegādes ķēdēs, cenu pieaugums un turpmāko investīciju ierobežojums.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Uz atbalstu var pretendēt apstrādes rūpniecības energoietilpīgi komersanti, kurus ietekmējušas militārās agresijas sekas, kas izpaužas kā papildu izmaksas par energoresursiem krasa to cenu pieauguma dēļ.</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Šā panta pirmajā daļā minētie saimnieciskās darbības veicēji var pretendēt uz atbalstu aizdevumu, garantiju vai pašu kapitāla investīciju veidā. Šā panta otrajā daļā minētie komersanti var pretendēt uz atbalstu grantu veidā.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Atbalstu šā likuma ietvaros nepiešķir šādiem saimnieciskās darbības veicējiem: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kuriem piemēro starptautiskās vai nacionālās sankcijas;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kapitālsabiedrībām, kurās tieša vai netieša izšķirošā ietekme ir Krievijas Federācijai vai Baltkrievijas Republikai, tās pilsoņiem vai juridiskām personām, kas reģistrētas Krievijas Federācijā vai Baltkrievijas Republikā (turpmāk – Krievijai vai Baltkrievijai piederīgās personas);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komandītsabiedrībām, kuras biedri ir Krievijai vai Baltkrievijai piederīgās personas vai šīm personām ir izšķirošā ietekme pār biedriem;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biedrībām, kuras biedri ir Krievijai vai Baltkrievijai piederīgās personas.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Šā panta pirmajā daļā minētajiem saimnieciskās darbības veicējiem atbalstu sniedz akciju sabiedrība "Attīstības finanšu institūcija Altum". Šā panta otrajā daļā minētajiem komersantiem atbalstu sniedz Būvniecības valsts kontroles birojs."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ievaddaļu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Šā likuma 2. panta pirmajā daļā noteikto atbalsta pasākumu īstenošanai tiek izmantots:";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Lai nodrošinātu šā likuma 2. panta otrajā daļā noteikto atbalsta pasākumu īstenošanu, finanšu ministram ir tiesības palielināt likumā "Par valsts budžetu 2022. gadam" noteikto apropriāciju budžeta resora "74. Gadskārtējā valsts budžeta izpildes procesā pārdalāmais finansējums" programmā 02.00.00 "Līdzekļi neparedzētiem gadījumiem" ne vairāk kā par 50 000 000 </w:t>
      </w:r>
      <w:r w:rsidR="00000000" w:rsidRPr="00000000" w:rsidDel="00000000">
        <w:rPr>
          <w:i w:val="1"/>
          <w:rtl w:val="0"/>
        </w:rPr>
        <w:t xml:space="preserve">euro</w:t>
      </w:r>
      <w:r w:rsidR="00000000" w:rsidRPr="00000000" w:rsidDel="00000000">
        <w:rPr>
          <w:rtl w:val="0"/>
        </w:rPr>
        <w:t xml:space="preserve">, kā arī veikt nepieciešamo apropriācijas pārdali ministrijai vai citai centrālajai valsts iestādei likumā noteiktās apropriācijas ietvaros starp programmām, apakšprogrammām un izdevumu kodiem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Apropriāciju šā panta otrajā un 2.</w:t>
      </w:r>
      <w:r w:rsidR="00000000" w:rsidRPr="00000000" w:rsidDel="00000000">
        <w:rPr>
          <w:vertAlign w:val="superscript"/>
          <w:rtl w:val="0"/>
        </w:rPr>
        <w:t xml:space="preserve">1</w:t>
      </w:r>
      <w:r w:rsidR="00000000" w:rsidRPr="00000000" w:rsidDel="00000000">
        <w:rPr>
          <w:rtl w:val="0"/>
        </w:rPr>
        <w:t xml:space="preserve"> daļā noteiktajā gadījumā atļauts palielināt, ja Ministru kabinets ir pieņēmis lēmumu un Saeimas Budžeta un finanšu (nodokļu) komisija piecu darbdienu laikā no attiecīgās informācijas saņemšanas ir to izskatījusi un nav iebildusi pret apropriācijas palielinājumu."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22-TA-2495</w:t>
    </w:r>
    <w:r>
      <w:br/>
    </w:r>
    <w:r w:rsidR="00000000" w:rsidRPr="00000000" w:rsidDel="00000000">
      <w:rPr>
        <w:rtl w:val="0"/>
      </w:rPr>
      <w:t xml:space="preserve">Izdrukāts 29.07.2026. 23.08 - 1.0.VK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22-TA-2495</w:t>
    </w:r>
    <w:r>
      <w:br/>
    </w:r>
    <w:r w:rsidR="00000000" w:rsidRPr="00000000" w:rsidDel="00000000">
      <w:rPr>
        <w:rtl w:val="0"/>
      </w:rPr>
      <w:t xml:space="preserve">Izdrukāts 29.07.2026. 23.08 - 1.0.VK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likumprojekts_(grozījumi)_22-TA-2495.docx</dc:title>
</cp:coreProperties>
</file>

<file path=docProps/custom.xml><?xml version="1.0" encoding="utf-8"?>
<Properties xmlns="http://schemas.openxmlformats.org/officeDocument/2006/custom-properties" xmlns:vt="http://schemas.openxmlformats.org/officeDocument/2006/docPropsVTypes"/>
</file>