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</w:t>
      </w:r>
      <w:r w:rsidR="00000000" w:rsidRPr="00000000" w:rsidDel="00000000">
        <w:rPr>
          <w:rStyle w:val="paragraph"/>
          <w:rtl w:val="0"/>
        </w:rPr>
        <w:t xml:space="preserve">Sodu reģistra likumā</w:t>
      </w:r>
      <w:r w:rsidR="00000000" w:rsidRPr="00000000" w:rsidDel="00000000">
        <w:rPr>
          <w:rStyle w:val="paragraph"/>
          <w:rtl w:val="0"/>
        </w:rPr>
        <w:t xml:space="preserve">  (Latvijas Vēstnesis, 2013, 211.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Izslēgt likuma VI nodaļu.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b w:val="1"/>
          <w:rtl w:val="0"/>
        </w:rPr>
        <w:t xml:space="preserve"> </w:t>
      </w:r>
      <w:r w:rsidR="00000000" w:rsidRPr="00000000" w:rsidDel="00000000">
        <w:rPr>
          <w:rtl w:val="0"/>
        </w:rPr>
        <w:t xml:space="preserve">Papildināt pārejas noteikumus ar 8. punktu šādā redakcijā: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Šā likuma grozījumi par VI nodaļas izslēgšanu stājas spēkā vienlaikus ar grozījumiem Administratīvās atbildības likumā, kuri paredz administratīvā pārkāpuma procesa elektroniskā vidē regulējumu."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21-TA-269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21-TA-269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likumprojekts_(grozījumi)_21-TA-269.docx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