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Kriminālprocesa likumā (Latvijas Republikas Saeimas un Ministru Kabineta Ziņotājs, 2005, 11., 20. nr.; 2006, 4. nr.; 2007, 3., 13. nr.; 2008, 1., 15. nr.; 2009, 9., 14., 15. nr.; Latvijas Vēstnesis, 2010, 19., 178. nr.; 2011, 117. nr.; 2012, 92., 189. nr.; 2013, 6., 21., 61., 112., 183., 187., 252. nr.; 2014, 113., 214. nr.; 2015, 11., 29., 140., 235. nr.; 2016, 48., 241. nr.; 2017, 75., 132., 203. nr.; 2018, 132., 201. nr.; 2019, 248.A nr.; 2020, 119.C, 232., 250. nr.; 2021, 12.A, 45.B, 202. nr.; 2022, 120., 204. nr.; 2023, 123. nr.; 2023, 5., 203.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386.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3. punktu;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7.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“7) Nodokļu un muitas policija;”.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387.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trešo daļu;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septītajā daļā vārdus "Valsts ieņēmumu dienesta nodokļu un muitas policijas" ar vārdiem "Nodokļu un muitas policijas".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86.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“86. Grozījumi šā likuma 386. pantā un 387. pantā saistībā ar Nodokļu un muitas policijas izveidi un tās funkciju institucionālo piekritību stājas spēkā 2026. gada 1. janvārī.”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24-TA-793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24-TA-793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