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BB5DF2" w14:textId="087B7BB1" w:rsidR="00A709EE" w:rsidRDefault="00A709EE" w:rsidP="00A709EE">
      <w:pPr>
        <w:overflowPunct w:val="0"/>
        <w:autoSpaceDE w:val="0"/>
        <w:autoSpaceDN w:val="0"/>
        <w:adjustRightInd w:val="0"/>
        <w:spacing w:after="0" w:line="240" w:lineRule="auto"/>
        <w:jc w:val="right"/>
        <w:textAlignment w:val="baseline"/>
        <w:rPr>
          <w:rFonts w:ascii="Times New Roman" w:eastAsia="Times New Roman" w:hAnsi="Times New Roman"/>
          <w:sz w:val="28"/>
          <w:lang w:eastAsia="en-GB"/>
        </w:rPr>
      </w:pPr>
      <w:r w:rsidRPr="006E14AC">
        <w:rPr>
          <w:rFonts w:ascii="Times New Roman" w:eastAsia="Times New Roman" w:hAnsi="Times New Roman"/>
          <w:sz w:val="28"/>
          <w:lang w:eastAsia="en-GB"/>
        </w:rPr>
        <w:t xml:space="preserve">4. pielikums </w:t>
      </w:r>
    </w:p>
    <w:p w14:paraId="2A89829B" w14:textId="77777777" w:rsidR="004D16E8" w:rsidRPr="006E14AC" w:rsidRDefault="004D16E8" w:rsidP="004D16E8">
      <w:pPr>
        <w:overflowPunct w:val="0"/>
        <w:autoSpaceDE w:val="0"/>
        <w:autoSpaceDN w:val="0"/>
        <w:adjustRightInd w:val="0"/>
        <w:spacing w:after="0" w:line="240" w:lineRule="auto"/>
        <w:jc w:val="right"/>
        <w:textAlignment w:val="baseline"/>
        <w:rPr>
          <w:rFonts w:ascii="Times New Roman" w:eastAsia="Times New Roman" w:hAnsi="Times New Roman"/>
          <w:sz w:val="28"/>
          <w:lang w:eastAsia="en-GB"/>
        </w:rPr>
      </w:pPr>
      <w:r w:rsidRPr="006E14AC">
        <w:rPr>
          <w:rFonts w:ascii="Times New Roman" w:eastAsia="Times New Roman" w:hAnsi="Times New Roman"/>
          <w:sz w:val="28"/>
          <w:lang w:eastAsia="en-GB"/>
        </w:rPr>
        <w:t xml:space="preserve">Ministru kabineta </w:t>
      </w:r>
    </w:p>
    <w:p w14:paraId="7864447B" w14:textId="6D74D244" w:rsidR="004D16E8" w:rsidRPr="006E14AC" w:rsidRDefault="004D16E8" w:rsidP="004D16E8">
      <w:pPr>
        <w:spacing w:after="0" w:line="240" w:lineRule="auto"/>
        <w:jc w:val="right"/>
        <w:rPr>
          <w:rFonts w:ascii="Times New Roman" w:eastAsia="Times New Roman" w:hAnsi="Times New Roman"/>
          <w:sz w:val="28"/>
          <w:lang w:eastAsia="en-GB"/>
        </w:rPr>
      </w:pPr>
      <w:r w:rsidRPr="006E14AC">
        <w:rPr>
          <w:rFonts w:ascii="Times New Roman" w:eastAsia="Times New Roman" w:hAnsi="Times New Roman"/>
          <w:sz w:val="28"/>
          <w:lang w:eastAsia="en-GB"/>
        </w:rPr>
        <w:t>202</w:t>
      </w:r>
      <w:r>
        <w:rPr>
          <w:rFonts w:ascii="Times New Roman" w:eastAsia="Times New Roman" w:hAnsi="Times New Roman"/>
          <w:sz w:val="28"/>
          <w:lang w:eastAsia="en-GB"/>
        </w:rPr>
        <w:t>4</w:t>
      </w:r>
      <w:r w:rsidRPr="006E14AC">
        <w:rPr>
          <w:rFonts w:ascii="Times New Roman" w:eastAsia="Times New Roman" w:hAnsi="Times New Roman"/>
          <w:sz w:val="28"/>
          <w:lang w:eastAsia="en-GB"/>
        </w:rPr>
        <w:t xml:space="preserve">. gada </w:t>
      </w:r>
      <w:r>
        <w:rPr>
          <w:rFonts w:ascii="Times New Roman" w:eastAsia="Times New Roman" w:hAnsi="Times New Roman"/>
          <w:sz w:val="28"/>
          <w:lang w:eastAsia="en-GB"/>
        </w:rPr>
        <w:t>________________</w:t>
      </w:r>
    </w:p>
    <w:p w14:paraId="39A40A29" w14:textId="314DF322" w:rsidR="004D16E8" w:rsidRPr="006E14AC" w:rsidRDefault="004D16E8" w:rsidP="004D16E8">
      <w:pPr>
        <w:spacing w:after="0" w:line="240" w:lineRule="auto"/>
        <w:jc w:val="right"/>
        <w:rPr>
          <w:rFonts w:ascii="Times New Roman" w:eastAsia="Times New Roman" w:hAnsi="Times New Roman"/>
          <w:sz w:val="28"/>
          <w:lang w:eastAsia="en-GB"/>
        </w:rPr>
      </w:pPr>
      <w:r w:rsidRPr="006E14AC">
        <w:rPr>
          <w:rFonts w:ascii="Times New Roman" w:eastAsia="Times New Roman" w:hAnsi="Times New Roman"/>
          <w:sz w:val="28"/>
          <w:lang w:eastAsia="en-GB"/>
        </w:rPr>
        <w:t>noteikumiem Nr.</w:t>
      </w:r>
      <w:r>
        <w:rPr>
          <w:rFonts w:ascii="Times New Roman" w:eastAsia="Times New Roman" w:hAnsi="Times New Roman"/>
          <w:sz w:val="28"/>
          <w:lang w:eastAsia="en-GB"/>
        </w:rPr>
        <w:t>________</w:t>
      </w:r>
    </w:p>
    <w:p w14:paraId="4B89B91F" w14:textId="77777777" w:rsidR="004D16E8" w:rsidRPr="006E14AC" w:rsidRDefault="004D16E8" w:rsidP="00A709EE">
      <w:pPr>
        <w:overflowPunct w:val="0"/>
        <w:autoSpaceDE w:val="0"/>
        <w:autoSpaceDN w:val="0"/>
        <w:adjustRightInd w:val="0"/>
        <w:spacing w:after="0" w:line="240" w:lineRule="auto"/>
        <w:jc w:val="right"/>
        <w:textAlignment w:val="baseline"/>
        <w:rPr>
          <w:rFonts w:ascii="Times New Roman" w:eastAsia="Times New Roman" w:hAnsi="Times New Roman"/>
          <w:sz w:val="28"/>
          <w:lang w:eastAsia="en-GB"/>
        </w:rPr>
      </w:pPr>
    </w:p>
    <w:p w14:paraId="419261C2" w14:textId="77777777" w:rsidR="00A709EE" w:rsidRPr="006E14AC" w:rsidRDefault="00A709EE" w:rsidP="00A709EE">
      <w:pPr>
        <w:spacing w:after="0" w:line="240" w:lineRule="auto"/>
        <w:rPr>
          <w:rFonts w:ascii="Times New Roman" w:eastAsia="Times New Roman" w:hAnsi="Times New Roman"/>
          <w:sz w:val="28"/>
          <w:lang w:eastAsia="en-GB"/>
        </w:rPr>
      </w:pPr>
    </w:p>
    <w:p w14:paraId="417A7B5D" w14:textId="277A6239" w:rsidR="00673757" w:rsidRPr="006E14AC" w:rsidRDefault="00A709EE" w:rsidP="00673757">
      <w:pPr>
        <w:overflowPunct w:val="0"/>
        <w:autoSpaceDE w:val="0"/>
        <w:autoSpaceDN w:val="0"/>
        <w:adjustRightInd w:val="0"/>
        <w:spacing w:after="0" w:line="240" w:lineRule="auto"/>
        <w:jc w:val="right"/>
        <w:textAlignment w:val="baseline"/>
        <w:rPr>
          <w:rFonts w:ascii="Times New Roman" w:eastAsia="Times New Roman" w:hAnsi="Times New Roman"/>
          <w:sz w:val="28"/>
          <w:lang w:eastAsia="en-GB"/>
        </w:rPr>
      </w:pPr>
      <w:r w:rsidRPr="006E14AC">
        <w:rPr>
          <w:rFonts w:ascii="Times New Roman" w:eastAsia="Times New Roman" w:hAnsi="Times New Roman"/>
          <w:sz w:val="28"/>
          <w:lang w:eastAsia="en-GB"/>
        </w:rPr>
        <w:t>"</w:t>
      </w:r>
      <w:r w:rsidR="004F13AC" w:rsidRPr="006E14AC">
        <w:rPr>
          <w:rFonts w:ascii="Times New Roman" w:eastAsia="Times New Roman" w:hAnsi="Times New Roman"/>
          <w:sz w:val="28"/>
          <w:lang w:eastAsia="en-GB"/>
        </w:rPr>
        <w:t>4. </w:t>
      </w:r>
      <w:r w:rsidR="00673757" w:rsidRPr="006E14AC">
        <w:rPr>
          <w:rFonts w:ascii="Times New Roman" w:eastAsia="Times New Roman" w:hAnsi="Times New Roman"/>
          <w:sz w:val="28"/>
          <w:lang w:eastAsia="en-GB"/>
        </w:rPr>
        <w:t xml:space="preserve">pielikums </w:t>
      </w:r>
    </w:p>
    <w:p w14:paraId="12DB7CD3" w14:textId="77777777" w:rsidR="00673757" w:rsidRPr="006E14AC" w:rsidRDefault="00673757" w:rsidP="00673757">
      <w:pPr>
        <w:overflowPunct w:val="0"/>
        <w:autoSpaceDE w:val="0"/>
        <w:autoSpaceDN w:val="0"/>
        <w:adjustRightInd w:val="0"/>
        <w:spacing w:after="0" w:line="240" w:lineRule="auto"/>
        <w:jc w:val="right"/>
        <w:textAlignment w:val="baseline"/>
        <w:rPr>
          <w:rFonts w:ascii="Times New Roman" w:eastAsia="Times New Roman" w:hAnsi="Times New Roman"/>
          <w:sz w:val="28"/>
          <w:lang w:eastAsia="en-GB"/>
        </w:rPr>
      </w:pPr>
      <w:r w:rsidRPr="006E14AC">
        <w:rPr>
          <w:rFonts w:ascii="Times New Roman" w:eastAsia="Times New Roman" w:hAnsi="Times New Roman"/>
          <w:sz w:val="28"/>
          <w:lang w:eastAsia="en-GB"/>
        </w:rPr>
        <w:t xml:space="preserve">Ministru kabineta </w:t>
      </w:r>
    </w:p>
    <w:p w14:paraId="09505C8F" w14:textId="4B275D6B" w:rsidR="00673757" w:rsidRPr="006E14AC" w:rsidRDefault="00673757" w:rsidP="00673757">
      <w:pPr>
        <w:spacing w:after="0" w:line="240" w:lineRule="auto"/>
        <w:jc w:val="right"/>
        <w:rPr>
          <w:rFonts w:ascii="Times New Roman" w:eastAsia="Times New Roman" w:hAnsi="Times New Roman"/>
          <w:sz w:val="28"/>
          <w:lang w:eastAsia="en-GB"/>
        </w:rPr>
      </w:pPr>
      <w:r w:rsidRPr="006E14AC">
        <w:rPr>
          <w:rFonts w:ascii="Times New Roman" w:eastAsia="Times New Roman" w:hAnsi="Times New Roman"/>
          <w:sz w:val="28"/>
          <w:lang w:eastAsia="en-GB"/>
        </w:rPr>
        <w:t>2023</w:t>
      </w:r>
      <w:r w:rsidR="004A6E54" w:rsidRPr="006E14AC">
        <w:rPr>
          <w:rFonts w:ascii="Times New Roman" w:eastAsia="Times New Roman" w:hAnsi="Times New Roman"/>
          <w:sz w:val="28"/>
          <w:lang w:eastAsia="en-GB"/>
        </w:rPr>
        <w:t xml:space="preserve">. gada </w:t>
      </w:r>
      <w:r w:rsidRPr="006E14AC">
        <w:rPr>
          <w:rFonts w:ascii="Times New Roman" w:eastAsia="Times New Roman" w:hAnsi="Times New Roman"/>
          <w:sz w:val="28"/>
          <w:lang w:eastAsia="en-GB"/>
        </w:rPr>
        <w:t>10. janvāra</w:t>
      </w:r>
    </w:p>
    <w:p w14:paraId="6AFB8C60" w14:textId="77777777" w:rsidR="00673757" w:rsidRPr="006E14AC" w:rsidRDefault="00673757" w:rsidP="00673757">
      <w:pPr>
        <w:spacing w:after="0" w:line="240" w:lineRule="auto"/>
        <w:jc w:val="right"/>
        <w:rPr>
          <w:rFonts w:ascii="Times New Roman" w:eastAsia="Times New Roman" w:hAnsi="Times New Roman"/>
          <w:sz w:val="28"/>
          <w:lang w:eastAsia="en-GB"/>
        </w:rPr>
      </w:pPr>
      <w:r w:rsidRPr="006E14AC">
        <w:rPr>
          <w:rFonts w:ascii="Times New Roman" w:eastAsia="Times New Roman" w:hAnsi="Times New Roman"/>
          <w:sz w:val="28"/>
          <w:lang w:eastAsia="en-GB"/>
        </w:rPr>
        <w:t>noteikumiem Nr. 3</w:t>
      </w:r>
    </w:p>
    <w:p w14:paraId="16C6A46A" w14:textId="289BAA3C" w:rsidR="00AB3600" w:rsidRPr="006E14AC" w:rsidRDefault="00A71535" w:rsidP="00965AEA">
      <w:pPr>
        <w:spacing w:before="100" w:beforeAutospacing="1" w:after="100" w:afterAutospacing="1" w:line="240" w:lineRule="auto"/>
        <w:ind w:left="357"/>
        <w:jc w:val="center"/>
        <w:rPr>
          <w:rFonts w:ascii="Times New Roman" w:eastAsia="Times New Roman" w:hAnsi="Times New Roman" w:cs="Times New Roman"/>
          <w:b/>
          <w:bCs/>
          <w:sz w:val="28"/>
          <w:szCs w:val="28"/>
          <w:lang w:eastAsia="lv-LV"/>
        </w:rPr>
      </w:pPr>
      <w:r w:rsidRPr="006E14AC">
        <w:rPr>
          <w:rFonts w:ascii="Times New Roman" w:hAnsi="Times New Roman" w:cs="Times New Roman"/>
          <w:b/>
          <w:bCs/>
          <w:sz w:val="28"/>
          <w:szCs w:val="28"/>
        </w:rPr>
        <w:t xml:space="preserve">Informācija </w:t>
      </w:r>
      <w:r w:rsidR="00A4392B" w:rsidRPr="006E14AC">
        <w:rPr>
          <w:rFonts w:ascii="Times New Roman" w:hAnsi="Times New Roman" w:cs="Times New Roman"/>
          <w:b/>
          <w:bCs/>
          <w:sz w:val="28"/>
          <w:szCs w:val="28"/>
        </w:rPr>
        <w:t xml:space="preserve">par </w:t>
      </w:r>
      <w:r w:rsidRPr="006E14AC">
        <w:rPr>
          <w:rFonts w:ascii="Times New Roman" w:hAnsi="Times New Roman" w:cs="Times New Roman"/>
          <w:b/>
          <w:bCs/>
          <w:sz w:val="28"/>
          <w:szCs w:val="28"/>
        </w:rPr>
        <w:t>atbilstīb</w:t>
      </w:r>
      <w:r w:rsidR="004D5D76" w:rsidRPr="006E14AC">
        <w:rPr>
          <w:rFonts w:ascii="Times New Roman" w:hAnsi="Times New Roman" w:cs="Times New Roman"/>
          <w:b/>
          <w:bCs/>
          <w:sz w:val="28"/>
          <w:szCs w:val="28"/>
        </w:rPr>
        <w:t>u</w:t>
      </w:r>
      <w:r w:rsidRPr="006E14AC">
        <w:rPr>
          <w:rFonts w:ascii="Times New Roman" w:hAnsi="Times New Roman" w:cs="Times New Roman"/>
          <w:b/>
          <w:bCs/>
          <w:sz w:val="28"/>
          <w:szCs w:val="28"/>
        </w:rPr>
        <w:t xml:space="preserve"> </w:t>
      </w:r>
      <w:r w:rsidR="00AB3600" w:rsidRPr="006E14AC">
        <w:rPr>
          <w:rFonts w:ascii="Times New Roman" w:hAnsi="Times New Roman" w:cs="Times New Roman"/>
          <w:b/>
          <w:bCs/>
          <w:sz w:val="28"/>
          <w:szCs w:val="28"/>
        </w:rPr>
        <w:t>starptautisk</w:t>
      </w:r>
      <w:r w:rsidR="00F27785" w:rsidRPr="006E14AC">
        <w:rPr>
          <w:rFonts w:ascii="Times New Roman" w:hAnsi="Times New Roman" w:cs="Times New Roman"/>
          <w:b/>
          <w:bCs/>
          <w:sz w:val="28"/>
          <w:szCs w:val="28"/>
        </w:rPr>
        <w:t>aj</w:t>
      </w:r>
      <w:r w:rsidR="00AB3600" w:rsidRPr="006E14AC">
        <w:rPr>
          <w:rFonts w:ascii="Times New Roman" w:hAnsi="Times New Roman" w:cs="Times New Roman"/>
          <w:b/>
          <w:bCs/>
          <w:sz w:val="28"/>
          <w:szCs w:val="28"/>
        </w:rPr>
        <w:t>iem radiofrekvenču spektr</w:t>
      </w:r>
      <w:r w:rsidR="00937E24" w:rsidRPr="006E14AC">
        <w:rPr>
          <w:rFonts w:ascii="Times New Roman" w:hAnsi="Times New Roman" w:cs="Times New Roman"/>
          <w:b/>
          <w:bCs/>
          <w:sz w:val="28"/>
          <w:szCs w:val="28"/>
        </w:rPr>
        <w:t>a</w:t>
      </w:r>
      <w:r w:rsidR="00AB3600" w:rsidRPr="006E14AC">
        <w:rPr>
          <w:rFonts w:ascii="Times New Roman" w:hAnsi="Times New Roman" w:cs="Times New Roman"/>
          <w:b/>
          <w:bCs/>
          <w:sz w:val="28"/>
          <w:szCs w:val="28"/>
        </w:rPr>
        <w:t xml:space="preserve"> izmantošanas nosacījumiem</w:t>
      </w:r>
    </w:p>
    <w:p w14:paraId="5D9E23D7" w14:textId="77777777" w:rsidR="002B24A1" w:rsidRPr="006E14AC" w:rsidRDefault="008E0D70" w:rsidP="00965AEA">
      <w:pPr>
        <w:spacing w:before="100" w:beforeAutospacing="1" w:after="100" w:afterAutospacing="1" w:line="240" w:lineRule="auto"/>
        <w:rPr>
          <w:rFonts w:ascii="Times New Roman" w:eastAsia="Times New Roman" w:hAnsi="Times New Roman" w:cs="Times New Roman"/>
          <w:b/>
          <w:bCs/>
          <w:sz w:val="28"/>
          <w:szCs w:val="28"/>
        </w:rPr>
      </w:pPr>
      <w:r w:rsidRPr="006E14AC">
        <w:rPr>
          <w:rFonts w:ascii="Times New Roman" w:eastAsia="Times New Roman" w:hAnsi="Times New Roman" w:cs="Times New Roman"/>
          <w:b/>
          <w:bCs/>
          <w:sz w:val="28"/>
          <w:szCs w:val="28"/>
          <w:lang w:eastAsia="lv-LV"/>
        </w:rPr>
        <w:t xml:space="preserve">1. </w:t>
      </w:r>
      <w:r w:rsidR="00AA1E28" w:rsidRPr="006E14AC">
        <w:rPr>
          <w:rFonts w:ascii="Times New Roman" w:eastAsia="Times New Roman" w:hAnsi="Times New Roman" w:cs="Times New Roman"/>
          <w:b/>
          <w:bCs/>
          <w:sz w:val="28"/>
          <w:szCs w:val="28"/>
          <w:lang w:eastAsia="lv-LV"/>
        </w:rPr>
        <w:t>Eiropas Parlamenta un Padomes, Eiropas Komisijas lēmumi</w:t>
      </w:r>
    </w:p>
    <w:tbl>
      <w:tblPr>
        <w:tblStyle w:val="TableGrid"/>
        <w:tblW w:w="9061" w:type="dxa"/>
        <w:tblLook w:val="04A0" w:firstRow="1" w:lastRow="0" w:firstColumn="1" w:lastColumn="0" w:noHBand="0" w:noVBand="1"/>
      </w:tblPr>
      <w:tblGrid>
        <w:gridCol w:w="846"/>
        <w:gridCol w:w="8215"/>
      </w:tblGrid>
      <w:tr w:rsidR="006E14AC" w:rsidRPr="006E14AC" w14:paraId="17533CE6" w14:textId="77777777" w:rsidTr="00D42116">
        <w:tc>
          <w:tcPr>
            <w:tcW w:w="846" w:type="dxa"/>
            <w:vAlign w:val="center"/>
          </w:tcPr>
          <w:p w14:paraId="16D1C4D4" w14:textId="77777777" w:rsidR="00CB699B" w:rsidRPr="006E14AC" w:rsidRDefault="00B84D47" w:rsidP="00582F1F">
            <w:pPr>
              <w:spacing w:after="120" w:line="240" w:lineRule="auto"/>
              <w:jc w:val="center"/>
              <w:rPr>
                <w:rFonts w:ascii="Times New Roman" w:eastAsia="Times New Roman" w:hAnsi="Times New Roman" w:cs="Times New Roman"/>
                <w:sz w:val="24"/>
                <w:szCs w:val="24"/>
                <w:lang w:eastAsia="lv-LV"/>
              </w:rPr>
            </w:pPr>
            <w:r w:rsidRPr="006E14AC">
              <w:rPr>
                <w:rFonts w:ascii="Times New Roman" w:hAnsi="Times New Roman" w:cs="Times New Roman"/>
                <w:sz w:val="24"/>
                <w:szCs w:val="24"/>
              </w:rPr>
              <w:t>Nr. </w:t>
            </w:r>
            <w:r w:rsidRPr="006E14AC">
              <w:rPr>
                <w:rFonts w:ascii="Times New Roman" w:hAnsi="Times New Roman" w:cs="Times New Roman"/>
                <w:sz w:val="24"/>
                <w:szCs w:val="24"/>
              </w:rPr>
              <w:br/>
              <w:t>p. k.</w:t>
            </w:r>
          </w:p>
        </w:tc>
        <w:tc>
          <w:tcPr>
            <w:tcW w:w="8215" w:type="dxa"/>
            <w:vAlign w:val="center"/>
          </w:tcPr>
          <w:p w14:paraId="0878A4B4" w14:textId="77777777" w:rsidR="00CB699B" w:rsidRPr="006E14AC" w:rsidRDefault="006568C5" w:rsidP="00582F1F">
            <w:pPr>
              <w:spacing w:after="120" w:line="240" w:lineRule="auto"/>
              <w:jc w:val="center"/>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Nosaukums</w:t>
            </w:r>
          </w:p>
        </w:tc>
      </w:tr>
      <w:tr w:rsidR="006E14AC" w:rsidRPr="006E14AC" w14:paraId="05A85531" w14:textId="77777777" w:rsidTr="00D42116">
        <w:tc>
          <w:tcPr>
            <w:tcW w:w="846" w:type="dxa"/>
          </w:tcPr>
          <w:p w14:paraId="6F53FD2C"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1.1.</w:t>
            </w:r>
          </w:p>
        </w:tc>
        <w:tc>
          <w:tcPr>
            <w:tcW w:w="8215" w:type="dxa"/>
          </w:tcPr>
          <w:p w14:paraId="042474FA" w14:textId="0D727F90"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2004</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8</w:t>
            </w:r>
            <w:r w:rsidR="004A6E54" w:rsidRPr="006E14AC">
              <w:rPr>
                <w:rFonts w:ascii="Times New Roman" w:eastAsia="Times New Roman" w:hAnsi="Times New Roman" w:cs="Times New Roman"/>
                <w:sz w:val="24"/>
                <w:szCs w:val="24"/>
                <w:lang w:eastAsia="lv-LV"/>
              </w:rPr>
              <w:t xml:space="preserve">. jūlija </w:t>
            </w:r>
            <w:r w:rsidRPr="006E14AC">
              <w:rPr>
                <w:rFonts w:ascii="Times New Roman" w:eastAsia="Times New Roman" w:hAnsi="Times New Roman" w:cs="Times New Roman"/>
                <w:sz w:val="24"/>
                <w:szCs w:val="24"/>
                <w:lang w:eastAsia="lv-LV"/>
              </w:rPr>
              <w:t xml:space="preserve">Lēmums </w:t>
            </w:r>
            <w:hyperlink r:id="rId12" w:history="1">
              <w:r w:rsidRPr="006E14AC">
                <w:rPr>
                  <w:rFonts w:ascii="Times New Roman" w:eastAsia="Times New Roman" w:hAnsi="Times New Roman" w:cs="Times New Roman"/>
                  <w:sz w:val="24"/>
                  <w:szCs w:val="24"/>
                  <w:lang w:eastAsia="lv-LV"/>
                </w:rPr>
                <w:t>2004/545/EK</w:t>
              </w:r>
            </w:hyperlink>
            <w:r w:rsidRPr="006E14AC">
              <w:rPr>
                <w:rFonts w:ascii="Times New Roman" w:eastAsia="Times New Roman" w:hAnsi="Times New Roman" w:cs="Times New Roman"/>
                <w:sz w:val="24"/>
                <w:szCs w:val="24"/>
                <w:lang w:eastAsia="lv-LV"/>
              </w:rPr>
              <w:t xml:space="preserve"> par radiofrekvenču spektra saskaņošanu 79 GHz diapazonā automobiļu šaura diapazona </w:t>
            </w:r>
            <w:proofErr w:type="spellStart"/>
            <w:r w:rsidRPr="006E14AC">
              <w:rPr>
                <w:rFonts w:ascii="Times New Roman" w:eastAsia="Times New Roman" w:hAnsi="Times New Roman" w:cs="Times New Roman"/>
                <w:sz w:val="24"/>
                <w:szCs w:val="24"/>
                <w:lang w:eastAsia="lv-LV"/>
              </w:rPr>
              <w:t>radariekārtu</w:t>
            </w:r>
            <w:proofErr w:type="spellEnd"/>
            <w:r w:rsidRPr="006E14AC">
              <w:rPr>
                <w:rFonts w:ascii="Times New Roman" w:eastAsia="Times New Roman" w:hAnsi="Times New Roman" w:cs="Times New Roman"/>
                <w:sz w:val="24"/>
                <w:szCs w:val="24"/>
                <w:lang w:eastAsia="lv-LV"/>
              </w:rPr>
              <w:t xml:space="preserve"> izmantošanai Kopienā</w:t>
            </w:r>
          </w:p>
        </w:tc>
      </w:tr>
      <w:tr w:rsidR="006E14AC" w:rsidRPr="006E14AC" w14:paraId="37B2F5BD" w14:textId="77777777" w:rsidTr="00D42116">
        <w:tc>
          <w:tcPr>
            <w:tcW w:w="846" w:type="dxa"/>
          </w:tcPr>
          <w:p w14:paraId="25D8FF63"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1.2.</w:t>
            </w:r>
          </w:p>
        </w:tc>
        <w:tc>
          <w:tcPr>
            <w:tcW w:w="8215" w:type="dxa"/>
          </w:tcPr>
          <w:p w14:paraId="10CA307D" w14:textId="01E7DA3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2005</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17</w:t>
            </w:r>
            <w:r w:rsidR="004A6E54" w:rsidRPr="006E14AC">
              <w:rPr>
                <w:rFonts w:ascii="Times New Roman" w:eastAsia="Times New Roman" w:hAnsi="Times New Roman" w:cs="Times New Roman"/>
                <w:sz w:val="24"/>
                <w:szCs w:val="24"/>
                <w:lang w:eastAsia="lv-LV"/>
              </w:rPr>
              <w:t xml:space="preserve">. janvāra </w:t>
            </w:r>
            <w:r w:rsidRPr="006E14AC">
              <w:rPr>
                <w:rFonts w:ascii="Times New Roman" w:eastAsia="Times New Roman" w:hAnsi="Times New Roman" w:cs="Times New Roman"/>
                <w:sz w:val="24"/>
                <w:szCs w:val="24"/>
                <w:lang w:eastAsia="lv-LV"/>
              </w:rPr>
              <w:t xml:space="preserve">Lēmums </w:t>
            </w:r>
            <w:hyperlink r:id="rId13" w:history="1">
              <w:r w:rsidRPr="006E14AC">
                <w:rPr>
                  <w:rFonts w:ascii="Times New Roman" w:eastAsia="Times New Roman" w:hAnsi="Times New Roman" w:cs="Times New Roman"/>
                  <w:sz w:val="24"/>
                  <w:szCs w:val="24"/>
                  <w:lang w:eastAsia="lv-LV"/>
                </w:rPr>
                <w:t>2005/50/EK</w:t>
              </w:r>
            </w:hyperlink>
            <w:r w:rsidRPr="006E14AC">
              <w:rPr>
                <w:rFonts w:ascii="Times New Roman" w:eastAsia="Times New Roman" w:hAnsi="Times New Roman" w:cs="Times New Roman"/>
                <w:sz w:val="24"/>
                <w:szCs w:val="24"/>
                <w:lang w:eastAsia="lv-LV"/>
              </w:rPr>
              <w:t xml:space="preserve"> par 24 GHz diapazona radiofrekvenču spektra joslas saskaņošanu automobiļu </w:t>
            </w:r>
            <w:proofErr w:type="spellStart"/>
            <w:r w:rsidRPr="006E14AC">
              <w:rPr>
                <w:rFonts w:ascii="Times New Roman" w:eastAsia="Times New Roman" w:hAnsi="Times New Roman" w:cs="Times New Roman"/>
                <w:sz w:val="24"/>
                <w:szCs w:val="24"/>
                <w:lang w:eastAsia="lv-LV"/>
              </w:rPr>
              <w:t>tuvdarbības</w:t>
            </w:r>
            <w:proofErr w:type="spellEnd"/>
            <w:r w:rsidRPr="006E14AC">
              <w:rPr>
                <w:rFonts w:ascii="Times New Roman" w:eastAsia="Times New Roman" w:hAnsi="Times New Roman" w:cs="Times New Roman"/>
                <w:sz w:val="24"/>
                <w:szCs w:val="24"/>
                <w:lang w:eastAsia="lv-LV"/>
              </w:rPr>
              <w:t xml:space="preserve"> radaru iekārtu lietojumā uz ierobežotu laiku Kopienā</w:t>
            </w:r>
          </w:p>
        </w:tc>
      </w:tr>
      <w:tr w:rsidR="006E14AC" w:rsidRPr="006E14AC" w14:paraId="71D17BE0" w14:textId="77777777" w:rsidTr="00D42116">
        <w:tc>
          <w:tcPr>
            <w:tcW w:w="846" w:type="dxa"/>
          </w:tcPr>
          <w:p w14:paraId="678A34B1"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1.3.</w:t>
            </w:r>
          </w:p>
        </w:tc>
        <w:tc>
          <w:tcPr>
            <w:tcW w:w="8215" w:type="dxa"/>
          </w:tcPr>
          <w:p w14:paraId="3C144CC2" w14:textId="724A1DDE"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2006</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9</w:t>
            </w:r>
            <w:r w:rsidR="004A6E54" w:rsidRPr="006E14AC">
              <w:rPr>
                <w:rFonts w:ascii="Times New Roman" w:eastAsia="Times New Roman" w:hAnsi="Times New Roman" w:cs="Times New Roman"/>
                <w:sz w:val="24"/>
                <w:szCs w:val="24"/>
                <w:lang w:eastAsia="lv-LV"/>
              </w:rPr>
              <w:t xml:space="preserve">. novembra </w:t>
            </w:r>
            <w:r w:rsidRPr="006E14AC">
              <w:rPr>
                <w:rFonts w:ascii="Times New Roman" w:eastAsia="Times New Roman" w:hAnsi="Times New Roman" w:cs="Times New Roman"/>
                <w:sz w:val="24"/>
                <w:szCs w:val="24"/>
                <w:lang w:eastAsia="lv-LV"/>
              </w:rPr>
              <w:t xml:space="preserve">Lēmums </w:t>
            </w:r>
            <w:hyperlink r:id="rId14" w:history="1">
              <w:r w:rsidRPr="006E14AC">
                <w:rPr>
                  <w:rFonts w:ascii="Times New Roman" w:eastAsia="Times New Roman" w:hAnsi="Times New Roman" w:cs="Times New Roman"/>
                  <w:sz w:val="24"/>
                  <w:szCs w:val="24"/>
                  <w:lang w:eastAsia="lv-LV"/>
                </w:rPr>
                <w:t>2006/771/EK</w:t>
              </w:r>
            </w:hyperlink>
            <w:r w:rsidRPr="006E14AC">
              <w:rPr>
                <w:rFonts w:ascii="Times New Roman" w:eastAsia="Times New Roman" w:hAnsi="Times New Roman" w:cs="Times New Roman"/>
                <w:sz w:val="24"/>
                <w:szCs w:val="24"/>
                <w:lang w:eastAsia="lv-LV"/>
              </w:rPr>
              <w:t xml:space="preserve"> par maza darbības attāluma ierīcēs izmantotā radiofrekvenču spektra saskaņošanu</w:t>
            </w:r>
          </w:p>
        </w:tc>
      </w:tr>
      <w:tr w:rsidR="006E14AC" w:rsidRPr="006E14AC" w14:paraId="16AB8E85" w14:textId="77777777" w:rsidTr="00D42116">
        <w:tc>
          <w:tcPr>
            <w:tcW w:w="846" w:type="dxa"/>
          </w:tcPr>
          <w:p w14:paraId="58918893" w14:textId="5C276C64" w:rsidR="004C4639"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w:t>
            </w:r>
            <w:r w:rsidR="00A36569" w:rsidRPr="006E14AC">
              <w:rPr>
                <w:rFonts w:ascii="Times New Roman" w:eastAsia="Times New Roman" w:hAnsi="Times New Roman" w:cs="Times New Roman"/>
                <w:sz w:val="24"/>
                <w:szCs w:val="24"/>
                <w:lang w:eastAsia="lv-LV"/>
              </w:rPr>
              <w:t>4</w:t>
            </w:r>
            <w:r w:rsidRPr="006E14AC">
              <w:rPr>
                <w:rFonts w:ascii="Times New Roman" w:eastAsia="Times New Roman" w:hAnsi="Times New Roman" w:cs="Times New Roman"/>
                <w:sz w:val="24"/>
                <w:szCs w:val="24"/>
                <w:lang w:eastAsia="lv-LV"/>
              </w:rPr>
              <w:t>.</w:t>
            </w:r>
          </w:p>
        </w:tc>
        <w:tc>
          <w:tcPr>
            <w:tcW w:w="8215" w:type="dxa"/>
          </w:tcPr>
          <w:p w14:paraId="62314186" w14:textId="0D045E2D"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2007</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14</w:t>
            </w:r>
            <w:r w:rsidR="004A6E54" w:rsidRPr="006E14AC">
              <w:rPr>
                <w:rFonts w:ascii="Times New Roman" w:eastAsia="Times New Roman" w:hAnsi="Times New Roman" w:cs="Times New Roman"/>
                <w:sz w:val="24"/>
                <w:szCs w:val="24"/>
                <w:lang w:eastAsia="lv-LV"/>
              </w:rPr>
              <w:t xml:space="preserve">. februāra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 xml:space="preserve">2007/98/EK par radiofrekvenču spektra harmonizētu izmantošanu 2 GHz frekvenču joslās mobilo </w:t>
            </w:r>
            <w:proofErr w:type="spellStart"/>
            <w:r w:rsidRPr="006E14AC">
              <w:rPr>
                <w:rFonts w:ascii="Times New Roman" w:eastAsia="Times New Roman" w:hAnsi="Times New Roman" w:cs="Times New Roman"/>
                <w:sz w:val="24"/>
                <w:szCs w:val="24"/>
                <w:lang w:eastAsia="lv-LV"/>
              </w:rPr>
              <w:t>satelītsakaru</w:t>
            </w:r>
            <w:proofErr w:type="spellEnd"/>
            <w:r w:rsidRPr="006E14AC">
              <w:rPr>
                <w:rFonts w:ascii="Times New Roman" w:eastAsia="Times New Roman" w:hAnsi="Times New Roman" w:cs="Times New Roman"/>
                <w:sz w:val="24"/>
                <w:szCs w:val="24"/>
                <w:lang w:eastAsia="lv-LV"/>
              </w:rPr>
              <w:t xml:space="preserve"> pakalpojumu sistēmu ieviešanai</w:t>
            </w:r>
          </w:p>
        </w:tc>
      </w:tr>
      <w:tr w:rsidR="006E14AC" w:rsidRPr="006E14AC" w14:paraId="0B126550" w14:textId="77777777" w:rsidTr="00D42116">
        <w:tc>
          <w:tcPr>
            <w:tcW w:w="846" w:type="dxa"/>
          </w:tcPr>
          <w:p w14:paraId="4E8739D1" w14:textId="6F761011" w:rsidR="004C4639"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w:t>
            </w:r>
            <w:r w:rsidR="00A36569" w:rsidRPr="006E14AC">
              <w:rPr>
                <w:rFonts w:ascii="Times New Roman" w:eastAsia="Times New Roman" w:hAnsi="Times New Roman" w:cs="Times New Roman"/>
                <w:sz w:val="24"/>
                <w:szCs w:val="24"/>
                <w:lang w:eastAsia="lv-LV"/>
              </w:rPr>
              <w:t>5</w:t>
            </w:r>
            <w:r w:rsidRPr="006E14AC">
              <w:rPr>
                <w:rFonts w:ascii="Times New Roman" w:eastAsia="Times New Roman" w:hAnsi="Times New Roman" w:cs="Times New Roman"/>
                <w:sz w:val="24"/>
                <w:szCs w:val="24"/>
                <w:lang w:eastAsia="lv-LV"/>
              </w:rPr>
              <w:t>.</w:t>
            </w:r>
          </w:p>
        </w:tc>
        <w:tc>
          <w:tcPr>
            <w:tcW w:w="8215" w:type="dxa"/>
          </w:tcPr>
          <w:p w14:paraId="34C1D4ED" w14:textId="0D0D0B08"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2008</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 xml:space="preserve">7. aprīļa Lēmums </w:t>
            </w:r>
            <w:hyperlink r:id="rId15" w:history="1">
              <w:r w:rsidRPr="006E14AC">
                <w:rPr>
                  <w:rFonts w:ascii="Times New Roman" w:eastAsia="Times New Roman" w:hAnsi="Times New Roman" w:cs="Times New Roman"/>
                  <w:sz w:val="24"/>
                  <w:szCs w:val="24"/>
                  <w:lang w:eastAsia="lv-LV"/>
                </w:rPr>
                <w:t>2008/294/EK</w:t>
              </w:r>
            </w:hyperlink>
            <w:r w:rsidRPr="006E14AC">
              <w:rPr>
                <w:rFonts w:ascii="Times New Roman" w:eastAsia="Times New Roman" w:hAnsi="Times New Roman" w:cs="Times New Roman"/>
                <w:sz w:val="24"/>
                <w:szCs w:val="24"/>
                <w:lang w:eastAsia="lv-LV"/>
              </w:rPr>
              <w:t xml:space="preserve"> par harmonizētiem frekvenču spektra izmantošanas nosacījumiem mobilo sakaru pakalpojumu darbībai gaisakuģos (MCA pakalpojumiem) Kopienā</w:t>
            </w:r>
          </w:p>
        </w:tc>
      </w:tr>
      <w:tr w:rsidR="006E14AC" w:rsidRPr="006E14AC" w14:paraId="7746BE69" w14:textId="77777777" w:rsidTr="00D42116">
        <w:tc>
          <w:tcPr>
            <w:tcW w:w="846" w:type="dxa"/>
          </w:tcPr>
          <w:p w14:paraId="5BC5600A" w14:textId="1F5350EB" w:rsidR="004C4639"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w:t>
            </w:r>
            <w:r w:rsidR="00A36569" w:rsidRPr="006E14AC">
              <w:rPr>
                <w:rFonts w:ascii="Times New Roman" w:eastAsia="Times New Roman" w:hAnsi="Times New Roman" w:cs="Times New Roman"/>
                <w:sz w:val="24"/>
                <w:szCs w:val="24"/>
                <w:lang w:eastAsia="lv-LV"/>
              </w:rPr>
              <w:t>6</w:t>
            </w:r>
            <w:r w:rsidRPr="006E14AC">
              <w:rPr>
                <w:rFonts w:ascii="Times New Roman" w:eastAsia="Times New Roman" w:hAnsi="Times New Roman" w:cs="Times New Roman"/>
                <w:sz w:val="24"/>
                <w:szCs w:val="24"/>
                <w:lang w:eastAsia="lv-LV"/>
              </w:rPr>
              <w:t>.</w:t>
            </w:r>
          </w:p>
        </w:tc>
        <w:tc>
          <w:tcPr>
            <w:tcW w:w="8215" w:type="dxa"/>
          </w:tcPr>
          <w:p w14:paraId="3E023F64" w14:textId="4448D404"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2008</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21</w:t>
            </w:r>
            <w:r w:rsidR="004A6E54" w:rsidRPr="006E14AC">
              <w:rPr>
                <w:rFonts w:ascii="Times New Roman" w:eastAsia="Times New Roman" w:hAnsi="Times New Roman" w:cs="Times New Roman"/>
                <w:sz w:val="24"/>
                <w:szCs w:val="24"/>
                <w:lang w:eastAsia="lv-LV"/>
              </w:rPr>
              <w:t xml:space="preserve">. maija </w:t>
            </w:r>
            <w:r w:rsidRPr="006E14AC">
              <w:rPr>
                <w:rFonts w:ascii="Times New Roman" w:eastAsia="Times New Roman" w:hAnsi="Times New Roman" w:cs="Times New Roman"/>
                <w:sz w:val="24"/>
                <w:szCs w:val="24"/>
                <w:lang w:eastAsia="lv-LV"/>
              </w:rPr>
              <w:t xml:space="preserve">Lēmums </w:t>
            </w:r>
            <w:hyperlink r:id="rId16" w:history="1">
              <w:r w:rsidRPr="006E14AC">
                <w:rPr>
                  <w:rFonts w:ascii="Times New Roman" w:eastAsia="Times New Roman" w:hAnsi="Times New Roman" w:cs="Times New Roman"/>
                  <w:sz w:val="24"/>
                  <w:szCs w:val="24"/>
                  <w:lang w:eastAsia="lv-LV"/>
                </w:rPr>
                <w:t>2008/411/EK</w:t>
              </w:r>
            </w:hyperlink>
            <w:r w:rsidRPr="006E14AC">
              <w:rPr>
                <w:rFonts w:ascii="Times New Roman" w:eastAsia="Times New Roman" w:hAnsi="Times New Roman" w:cs="Times New Roman"/>
                <w:sz w:val="24"/>
                <w:szCs w:val="24"/>
                <w:lang w:eastAsia="lv-LV"/>
              </w:rPr>
              <w:t xml:space="preserve"> par 3400–3800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frekvenču joslas harmonizāciju tādu zemes sistēmu vajadzībām, kas Kopienā spēj nodrošināt elektronisko sakaru pakalpojumus</w:t>
            </w:r>
          </w:p>
        </w:tc>
      </w:tr>
      <w:tr w:rsidR="006E14AC" w:rsidRPr="006E14AC" w14:paraId="74875FB5" w14:textId="77777777" w:rsidTr="00D42116">
        <w:tc>
          <w:tcPr>
            <w:tcW w:w="846" w:type="dxa"/>
          </w:tcPr>
          <w:p w14:paraId="7003AF3D" w14:textId="5A53FAD8" w:rsidR="004C4639"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w:t>
            </w:r>
            <w:r w:rsidR="00A36569" w:rsidRPr="006E14AC">
              <w:rPr>
                <w:rFonts w:ascii="Times New Roman" w:eastAsia="Times New Roman" w:hAnsi="Times New Roman" w:cs="Times New Roman"/>
                <w:sz w:val="24"/>
                <w:szCs w:val="24"/>
                <w:lang w:eastAsia="lv-LV"/>
              </w:rPr>
              <w:t>7</w:t>
            </w:r>
            <w:r w:rsidRPr="006E14AC">
              <w:rPr>
                <w:rFonts w:ascii="Times New Roman" w:eastAsia="Times New Roman" w:hAnsi="Times New Roman" w:cs="Times New Roman"/>
                <w:sz w:val="24"/>
                <w:szCs w:val="24"/>
                <w:lang w:eastAsia="lv-LV"/>
              </w:rPr>
              <w:t>.</w:t>
            </w:r>
          </w:p>
        </w:tc>
        <w:tc>
          <w:tcPr>
            <w:tcW w:w="8215" w:type="dxa"/>
          </w:tcPr>
          <w:p w14:paraId="5866A2FB" w14:textId="55EB3878"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2008</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23</w:t>
            </w:r>
            <w:r w:rsidR="004A6E54" w:rsidRPr="006E14AC">
              <w:rPr>
                <w:rFonts w:ascii="Times New Roman" w:eastAsia="Times New Roman" w:hAnsi="Times New Roman" w:cs="Times New Roman"/>
                <w:sz w:val="24"/>
                <w:szCs w:val="24"/>
                <w:lang w:eastAsia="lv-LV"/>
              </w:rPr>
              <w:t xml:space="preserve">. maija </w:t>
            </w:r>
            <w:r w:rsidRPr="006E14AC">
              <w:rPr>
                <w:rFonts w:ascii="Times New Roman" w:eastAsia="Times New Roman" w:hAnsi="Times New Roman" w:cs="Times New Roman"/>
                <w:sz w:val="24"/>
                <w:szCs w:val="24"/>
                <w:lang w:eastAsia="lv-LV"/>
              </w:rPr>
              <w:t xml:space="preserve">Lēmums </w:t>
            </w:r>
            <w:hyperlink r:id="rId17" w:history="1">
              <w:r w:rsidRPr="006E14AC">
                <w:rPr>
                  <w:rFonts w:ascii="Times New Roman" w:eastAsia="Times New Roman" w:hAnsi="Times New Roman" w:cs="Times New Roman"/>
                  <w:sz w:val="24"/>
                  <w:szCs w:val="24"/>
                  <w:lang w:eastAsia="lv-LV"/>
                </w:rPr>
                <w:t>2008/432/EK</w:t>
              </w:r>
            </w:hyperlink>
            <w:r w:rsidRPr="006E14AC">
              <w:rPr>
                <w:rFonts w:ascii="Times New Roman" w:eastAsia="Times New Roman" w:hAnsi="Times New Roman" w:cs="Times New Roman"/>
                <w:sz w:val="24"/>
                <w:szCs w:val="24"/>
                <w:lang w:eastAsia="lv-LV"/>
              </w:rPr>
              <w:t>, ar ko izdara grozījumus Lēmumā </w:t>
            </w:r>
            <w:hyperlink r:id="rId18" w:history="1">
              <w:r w:rsidRPr="006E14AC">
                <w:rPr>
                  <w:rFonts w:ascii="Times New Roman" w:eastAsia="Times New Roman" w:hAnsi="Times New Roman" w:cs="Times New Roman"/>
                  <w:sz w:val="24"/>
                  <w:szCs w:val="24"/>
                  <w:lang w:eastAsia="lv-LV"/>
                </w:rPr>
                <w:t>2006/771/EK</w:t>
              </w:r>
            </w:hyperlink>
            <w:r w:rsidRPr="006E14AC">
              <w:rPr>
                <w:rFonts w:ascii="Times New Roman" w:eastAsia="Times New Roman" w:hAnsi="Times New Roman" w:cs="Times New Roman"/>
                <w:sz w:val="24"/>
                <w:szCs w:val="24"/>
                <w:lang w:eastAsia="lv-LV"/>
              </w:rPr>
              <w:t> par maza darbības attāluma ierīcēs izmantotā radiofrekvenču spektra saskaņošanu</w:t>
            </w:r>
          </w:p>
        </w:tc>
      </w:tr>
      <w:tr w:rsidR="006E14AC" w:rsidRPr="006E14AC" w14:paraId="6A83A833" w14:textId="77777777" w:rsidTr="00D42116">
        <w:tc>
          <w:tcPr>
            <w:tcW w:w="846" w:type="dxa"/>
          </w:tcPr>
          <w:p w14:paraId="086F8B82" w14:textId="62CB2881" w:rsidR="004C4639"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w:t>
            </w:r>
            <w:r w:rsidR="00A36569" w:rsidRPr="006E14AC">
              <w:rPr>
                <w:rFonts w:ascii="Times New Roman" w:eastAsia="Times New Roman" w:hAnsi="Times New Roman" w:cs="Times New Roman"/>
                <w:sz w:val="24"/>
                <w:szCs w:val="24"/>
                <w:lang w:eastAsia="lv-LV"/>
              </w:rPr>
              <w:t>8</w:t>
            </w:r>
            <w:r w:rsidRPr="006E14AC">
              <w:rPr>
                <w:rFonts w:ascii="Times New Roman" w:eastAsia="Times New Roman" w:hAnsi="Times New Roman" w:cs="Times New Roman"/>
                <w:sz w:val="24"/>
                <w:szCs w:val="24"/>
                <w:lang w:eastAsia="lv-LV"/>
              </w:rPr>
              <w:t>.</w:t>
            </w:r>
          </w:p>
        </w:tc>
        <w:tc>
          <w:tcPr>
            <w:tcW w:w="8215" w:type="dxa"/>
          </w:tcPr>
          <w:p w14:paraId="3A47AB4E" w14:textId="005D8CD8"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2008</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13</w:t>
            </w:r>
            <w:r w:rsidR="004A6E54" w:rsidRPr="006E14AC">
              <w:rPr>
                <w:rFonts w:ascii="Times New Roman" w:eastAsia="Times New Roman" w:hAnsi="Times New Roman" w:cs="Times New Roman"/>
                <w:sz w:val="24"/>
                <w:szCs w:val="24"/>
                <w:lang w:eastAsia="lv-LV"/>
              </w:rPr>
              <w:t xml:space="preserve">. jūnija </w:t>
            </w:r>
            <w:r w:rsidRPr="006E14AC">
              <w:rPr>
                <w:rFonts w:ascii="Times New Roman" w:eastAsia="Times New Roman" w:hAnsi="Times New Roman" w:cs="Times New Roman"/>
                <w:sz w:val="24"/>
                <w:szCs w:val="24"/>
                <w:lang w:eastAsia="lv-LV"/>
              </w:rPr>
              <w:t xml:space="preserve">Lēmums 2008/477/EK par 2500–2690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frekvenču joslas harmonizāciju tādu zemes sistēmu vajadzībām, kas Kopienā spēj nodrošināt elektronisko sakaru pakalpojumus</w:t>
            </w:r>
          </w:p>
        </w:tc>
      </w:tr>
      <w:tr w:rsidR="006E14AC" w:rsidRPr="006E14AC" w14:paraId="28219ED8" w14:textId="77777777" w:rsidTr="00D42116">
        <w:tc>
          <w:tcPr>
            <w:tcW w:w="846" w:type="dxa"/>
          </w:tcPr>
          <w:p w14:paraId="57D896B3" w14:textId="26DDB641" w:rsidR="004C4639"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w:t>
            </w:r>
            <w:r w:rsidR="00A36569" w:rsidRPr="006E14AC">
              <w:rPr>
                <w:rFonts w:ascii="Times New Roman" w:eastAsia="Times New Roman" w:hAnsi="Times New Roman" w:cs="Times New Roman"/>
                <w:sz w:val="24"/>
                <w:szCs w:val="24"/>
                <w:lang w:eastAsia="lv-LV"/>
              </w:rPr>
              <w:t>9</w:t>
            </w:r>
            <w:r w:rsidRPr="006E14AC">
              <w:rPr>
                <w:rFonts w:ascii="Times New Roman" w:eastAsia="Times New Roman" w:hAnsi="Times New Roman" w:cs="Times New Roman"/>
                <w:sz w:val="24"/>
                <w:szCs w:val="24"/>
                <w:lang w:eastAsia="lv-LV"/>
              </w:rPr>
              <w:t>.</w:t>
            </w:r>
          </w:p>
        </w:tc>
        <w:tc>
          <w:tcPr>
            <w:tcW w:w="8215" w:type="dxa"/>
          </w:tcPr>
          <w:p w14:paraId="2B1A39A1" w14:textId="1A51B53B"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Eiropas Parlamenta un Padomes 2008</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30</w:t>
            </w:r>
            <w:r w:rsidR="004A6E54" w:rsidRPr="006E14AC">
              <w:rPr>
                <w:rFonts w:ascii="Times New Roman" w:eastAsia="Times New Roman" w:hAnsi="Times New Roman" w:cs="Times New Roman"/>
                <w:sz w:val="24"/>
                <w:szCs w:val="24"/>
                <w:lang w:eastAsia="lv-LV"/>
              </w:rPr>
              <w:t xml:space="preserve">. jūnija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Nr. </w:t>
            </w:r>
            <w:hyperlink r:id="rId19" w:history="1">
              <w:r w:rsidRPr="006E14AC">
                <w:rPr>
                  <w:rFonts w:ascii="Times New Roman" w:eastAsia="Times New Roman" w:hAnsi="Times New Roman" w:cs="Times New Roman"/>
                  <w:sz w:val="24"/>
                  <w:szCs w:val="24"/>
                  <w:lang w:eastAsia="lv-LV"/>
                </w:rPr>
                <w:t>626/2008/EK</w:t>
              </w:r>
            </w:hyperlink>
            <w:r w:rsidRPr="006E14AC">
              <w:rPr>
                <w:rFonts w:ascii="Times New Roman" w:eastAsia="Times New Roman" w:hAnsi="Times New Roman" w:cs="Times New Roman"/>
                <w:sz w:val="24"/>
                <w:szCs w:val="24"/>
                <w:lang w:eastAsia="lv-LV"/>
              </w:rPr>
              <w:t xml:space="preserve"> par sistēmu atlasi mobilo </w:t>
            </w:r>
            <w:proofErr w:type="spellStart"/>
            <w:r w:rsidRPr="006E14AC">
              <w:rPr>
                <w:rFonts w:ascii="Times New Roman" w:eastAsia="Times New Roman" w:hAnsi="Times New Roman" w:cs="Times New Roman"/>
                <w:sz w:val="24"/>
                <w:szCs w:val="24"/>
                <w:lang w:eastAsia="lv-LV"/>
              </w:rPr>
              <w:t>satelītsakaru</w:t>
            </w:r>
            <w:proofErr w:type="spellEnd"/>
            <w:r w:rsidRPr="006E14AC">
              <w:rPr>
                <w:rFonts w:ascii="Times New Roman" w:eastAsia="Times New Roman" w:hAnsi="Times New Roman" w:cs="Times New Roman"/>
                <w:sz w:val="24"/>
                <w:szCs w:val="24"/>
                <w:lang w:eastAsia="lv-LV"/>
              </w:rPr>
              <w:t xml:space="preserve"> pakalpojumu (MSP) nodrošināšanai un atļauju piešķiršanu šīm sistēmām</w:t>
            </w:r>
          </w:p>
        </w:tc>
      </w:tr>
      <w:tr w:rsidR="006E14AC" w:rsidRPr="006E14AC" w14:paraId="0C765BA3" w14:textId="77777777" w:rsidTr="00D42116">
        <w:tc>
          <w:tcPr>
            <w:tcW w:w="846" w:type="dxa"/>
          </w:tcPr>
          <w:p w14:paraId="2CD797A4" w14:textId="22A5A9D7" w:rsidR="004C4639"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lastRenderedPageBreak/>
              <w:t>1.</w:t>
            </w:r>
            <w:r w:rsidR="00A36569" w:rsidRPr="006E14AC">
              <w:rPr>
                <w:rFonts w:ascii="Times New Roman" w:eastAsia="Times New Roman" w:hAnsi="Times New Roman" w:cs="Times New Roman"/>
                <w:sz w:val="24"/>
                <w:szCs w:val="24"/>
                <w:lang w:eastAsia="lv-LV"/>
              </w:rPr>
              <w:t>10</w:t>
            </w:r>
            <w:r w:rsidRPr="006E14AC">
              <w:rPr>
                <w:rFonts w:ascii="Times New Roman" w:eastAsia="Times New Roman" w:hAnsi="Times New Roman" w:cs="Times New Roman"/>
                <w:sz w:val="24"/>
                <w:szCs w:val="24"/>
                <w:lang w:eastAsia="lv-LV"/>
              </w:rPr>
              <w:t>.</w:t>
            </w:r>
          </w:p>
        </w:tc>
        <w:tc>
          <w:tcPr>
            <w:tcW w:w="8215" w:type="dxa"/>
          </w:tcPr>
          <w:p w14:paraId="65E139E1" w14:textId="4037BBD2"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2009</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13</w:t>
            </w:r>
            <w:r w:rsidR="004A6E54" w:rsidRPr="006E14AC">
              <w:rPr>
                <w:rFonts w:ascii="Times New Roman" w:eastAsia="Times New Roman" w:hAnsi="Times New Roman" w:cs="Times New Roman"/>
                <w:sz w:val="24"/>
                <w:szCs w:val="24"/>
                <w:lang w:eastAsia="lv-LV"/>
              </w:rPr>
              <w:t xml:space="preserve">. maija </w:t>
            </w:r>
            <w:r w:rsidRPr="006E14AC">
              <w:rPr>
                <w:rFonts w:ascii="Times New Roman" w:eastAsia="Times New Roman" w:hAnsi="Times New Roman" w:cs="Times New Roman"/>
                <w:sz w:val="24"/>
                <w:szCs w:val="24"/>
                <w:lang w:eastAsia="lv-LV"/>
              </w:rPr>
              <w:t>Lēmums 2009/381/EK</w:t>
            </w:r>
            <w:r w:rsidR="00354AB5"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ar ko izdara grozījumus Lēmumā 2006/771/EK par maza darbības attāluma ierīcēs izmantotā radiofrekvenču spektra saskaņošanu</w:t>
            </w:r>
          </w:p>
        </w:tc>
      </w:tr>
      <w:tr w:rsidR="006E14AC" w:rsidRPr="006E14AC" w14:paraId="36604578" w14:textId="77777777" w:rsidTr="00D42116">
        <w:tc>
          <w:tcPr>
            <w:tcW w:w="846" w:type="dxa"/>
          </w:tcPr>
          <w:p w14:paraId="33A62919" w14:textId="487168DC" w:rsidR="004C4639"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w:t>
            </w:r>
            <w:r w:rsidR="00A36569" w:rsidRPr="006E14AC">
              <w:rPr>
                <w:rFonts w:ascii="Times New Roman" w:eastAsia="Times New Roman" w:hAnsi="Times New Roman" w:cs="Times New Roman"/>
                <w:sz w:val="24"/>
                <w:szCs w:val="24"/>
                <w:lang w:eastAsia="lv-LV"/>
              </w:rPr>
              <w:t>11</w:t>
            </w:r>
            <w:r w:rsidRPr="006E14AC">
              <w:rPr>
                <w:rFonts w:ascii="Times New Roman" w:eastAsia="Times New Roman" w:hAnsi="Times New Roman" w:cs="Times New Roman"/>
                <w:sz w:val="24"/>
                <w:szCs w:val="24"/>
                <w:lang w:eastAsia="lv-LV"/>
              </w:rPr>
              <w:t>.</w:t>
            </w:r>
          </w:p>
        </w:tc>
        <w:tc>
          <w:tcPr>
            <w:tcW w:w="8215" w:type="dxa"/>
          </w:tcPr>
          <w:p w14:paraId="0883765B" w14:textId="1075579A"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2010</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6</w:t>
            </w:r>
            <w:r w:rsidR="004A6E54" w:rsidRPr="006E14AC">
              <w:rPr>
                <w:rFonts w:ascii="Times New Roman" w:eastAsia="Times New Roman" w:hAnsi="Times New Roman" w:cs="Times New Roman"/>
                <w:sz w:val="24"/>
                <w:szCs w:val="24"/>
                <w:lang w:eastAsia="lv-LV"/>
              </w:rPr>
              <w:t xml:space="preserve">. marta </w:t>
            </w:r>
            <w:r w:rsidRPr="006E14AC">
              <w:rPr>
                <w:rFonts w:ascii="Times New Roman" w:eastAsia="Times New Roman" w:hAnsi="Times New Roman" w:cs="Times New Roman"/>
                <w:sz w:val="24"/>
                <w:szCs w:val="24"/>
                <w:lang w:eastAsia="lv-LV"/>
              </w:rPr>
              <w:t xml:space="preserve">Lēmums </w:t>
            </w:r>
            <w:hyperlink r:id="rId20" w:history="1">
              <w:r w:rsidRPr="006E14AC">
                <w:rPr>
                  <w:rFonts w:ascii="Times New Roman" w:eastAsia="Times New Roman" w:hAnsi="Times New Roman" w:cs="Times New Roman"/>
                  <w:sz w:val="24"/>
                  <w:szCs w:val="24"/>
                  <w:lang w:eastAsia="lv-LV"/>
                </w:rPr>
                <w:t>2010/267/ES</w:t>
              </w:r>
            </w:hyperlink>
            <w:r w:rsidRPr="006E14AC">
              <w:rPr>
                <w:rFonts w:ascii="Times New Roman" w:eastAsia="Times New Roman" w:hAnsi="Times New Roman" w:cs="Times New Roman"/>
                <w:sz w:val="24"/>
                <w:szCs w:val="24"/>
                <w:lang w:eastAsia="lv-LV"/>
              </w:rPr>
              <w:t xml:space="preserve"> par harmonizētiem tehniskajiem lietošanas nosacījumiem 790–862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frekvenču joslā tādām zemes sistēmām, kas spēj nodrošināt elektronisko sakaru pakalpojumus Eiropas Savienībā</w:t>
            </w:r>
          </w:p>
        </w:tc>
      </w:tr>
      <w:tr w:rsidR="004A7A72" w:rsidRPr="006E14AC" w14:paraId="3163181A" w14:textId="77777777" w:rsidTr="00D42116">
        <w:tc>
          <w:tcPr>
            <w:tcW w:w="846" w:type="dxa"/>
          </w:tcPr>
          <w:p w14:paraId="2655E037" w14:textId="41D08BE6"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1.12.</w:t>
            </w:r>
          </w:p>
        </w:tc>
        <w:tc>
          <w:tcPr>
            <w:tcW w:w="8215" w:type="dxa"/>
          </w:tcPr>
          <w:p w14:paraId="47876CBB" w14:textId="432FEE68"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(Svītrots ar MK </w:t>
            </w:r>
            <w:r w:rsidRPr="006E14AC">
              <w:rPr>
                <w:rFonts w:ascii="Times New Roman" w:eastAsia="Times New Roman" w:hAnsi="Times New Roman"/>
                <w:sz w:val="24"/>
                <w:szCs w:val="24"/>
                <w:lang w:eastAsia="en-GB"/>
              </w:rPr>
              <w:t>202</w:t>
            </w:r>
            <w:r>
              <w:rPr>
                <w:rFonts w:ascii="Times New Roman" w:eastAsia="Times New Roman" w:hAnsi="Times New Roman"/>
                <w:sz w:val="24"/>
                <w:szCs w:val="24"/>
                <w:lang w:eastAsia="en-GB"/>
              </w:rPr>
              <w:t>4</w:t>
            </w:r>
            <w:r w:rsidRPr="006E14AC">
              <w:rPr>
                <w:rFonts w:ascii="Times New Roman" w:eastAsia="Times New Roman" w:hAnsi="Times New Roman"/>
                <w:sz w:val="24"/>
                <w:szCs w:val="24"/>
                <w:lang w:eastAsia="en-GB"/>
              </w:rPr>
              <w:t xml:space="preserve">. </w:t>
            </w:r>
            <w:proofErr w:type="spellStart"/>
            <w:r w:rsidRPr="006E14AC">
              <w:rPr>
                <w:rFonts w:ascii="Times New Roman" w:eastAsia="Times New Roman" w:hAnsi="Times New Roman"/>
                <w:sz w:val="24"/>
                <w:szCs w:val="24"/>
                <w:lang w:eastAsia="en-GB"/>
              </w:rPr>
              <w:t>gada</w:t>
            </w:r>
            <w:r w:rsidR="003E608F">
              <w:rPr>
                <w:rFonts w:ascii="Times New Roman" w:eastAsia="Times New Roman" w:hAnsi="Times New Roman"/>
                <w:sz w:val="24"/>
                <w:szCs w:val="24"/>
                <w:lang w:eastAsia="en-GB"/>
              </w:rPr>
              <w:t>__</w:t>
            </w:r>
            <w:r w:rsidR="001F491C">
              <w:rPr>
                <w:rFonts w:ascii="Times New Roman" w:eastAsia="Times New Roman" w:hAnsi="Times New Roman"/>
                <w:sz w:val="24"/>
                <w:szCs w:val="24"/>
                <w:lang w:eastAsia="en-GB"/>
              </w:rPr>
              <w:t>noteikumiem</w:t>
            </w:r>
            <w:proofErr w:type="spellEnd"/>
            <w:r w:rsidR="001F491C">
              <w:rPr>
                <w:rFonts w:ascii="Times New Roman" w:eastAsia="Times New Roman" w:hAnsi="Times New Roman"/>
                <w:sz w:val="24"/>
                <w:szCs w:val="24"/>
                <w:lang w:eastAsia="en-GB"/>
              </w:rPr>
              <w:t xml:space="preserve"> Nr.__)</w:t>
            </w:r>
          </w:p>
        </w:tc>
      </w:tr>
      <w:tr w:rsidR="004A7A72" w:rsidRPr="006E14AC" w14:paraId="45661C88" w14:textId="77777777" w:rsidTr="00D42116">
        <w:tc>
          <w:tcPr>
            <w:tcW w:w="846" w:type="dxa"/>
          </w:tcPr>
          <w:p w14:paraId="41A072F0" w14:textId="7893D76F"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1.13.</w:t>
            </w:r>
          </w:p>
        </w:tc>
        <w:tc>
          <w:tcPr>
            <w:tcW w:w="8215" w:type="dxa"/>
          </w:tcPr>
          <w:p w14:paraId="436644B1" w14:textId="757191B4"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Komisijas 2010. gada 30. jūnija Lēmums </w:t>
            </w:r>
            <w:hyperlink r:id="rId21" w:history="1">
              <w:r w:rsidRPr="006E14AC">
                <w:rPr>
                  <w:rFonts w:ascii="Times New Roman" w:eastAsia="Times New Roman" w:hAnsi="Times New Roman" w:cs="Times New Roman"/>
                  <w:sz w:val="24"/>
                  <w:szCs w:val="24"/>
                  <w:lang w:eastAsia="lv-LV"/>
                </w:rPr>
                <w:t>2010/368/ES</w:t>
              </w:r>
            </w:hyperlink>
            <w:r w:rsidRPr="006E14AC">
              <w:rPr>
                <w:rFonts w:ascii="Times New Roman" w:eastAsia="Times New Roman" w:hAnsi="Times New Roman" w:cs="Times New Roman"/>
                <w:sz w:val="24"/>
                <w:szCs w:val="24"/>
                <w:lang w:eastAsia="lv-LV"/>
              </w:rPr>
              <w:t>, ar ko izdara grozījumus Lēmumā </w:t>
            </w:r>
            <w:hyperlink r:id="rId22" w:history="1">
              <w:r w:rsidRPr="006E14AC">
                <w:rPr>
                  <w:rFonts w:ascii="Times New Roman" w:eastAsia="Times New Roman" w:hAnsi="Times New Roman" w:cs="Times New Roman"/>
                  <w:sz w:val="24"/>
                  <w:szCs w:val="24"/>
                  <w:lang w:eastAsia="lv-LV"/>
                </w:rPr>
                <w:t>2006/771/EK</w:t>
              </w:r>
            </w:hyperlink>
            <w:r w:rsidRPr="006E14AC">
              <w:rPr>
                <w:rFonts w:ascii="Times New Roman" w:eastAsia="Times New Roman" w:hAnsi="Times New Roman" w:cs="Times New Roman"/>
                <w:sz w:val="24"/>
                <w:szCs w:val="24"/>
                <w:lang w:eastAsia="lv-LV"/>
              </w:rPr>
              <w:t> par maza darbības attāluma ierīcēs izmantotā radiofrekvenču spektra saskaņošanu</w:t>
            </w:r>
          </w:p>
        </w:tc>
      </w:tr>
      <w:tr w:rsidR="004A7A72" w:rsidRPr="006E14AC" w14:paraId="2BF6D717" w14:textId="77777777" w:rsidTr="00D42116">
        <w:tc>
          <w:tcPr>
            <w:tcW w:w="846" w:type="dxa"/>
          </w:tcPr>
          <w:p w14:paraId="79616C43" w14:textId="5ABCB835"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1.14.</w:t>
            </w:r>
          </w:p>
        </w:tc>
        <w:tc>
          <w:tcPr>
            <w:tcW w:w="8215" w:type="dxa"/>
          </w:tcPr>
          <w:p w14:paraId="298344E5" w14:textId="1D3C2FC4"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Komisijas 2011. gada 29. jūlija Lēmums </w:t>
            </w:r>
            <w:hyperlink r:id="rId23" w:history="1">
              <w:r w:rsidRPr="006E14AC">
                <w:rPr>
                  <w:rFonts w:ascii="Times New Roman" w:eastAsia="Times New Roman" w:hAnsi="Times New Roman" w:cs="Times New Roman"/>
                  <w:sz w:val="24"/>
                  <w:szCs w:val="24"/>
                  <w:lang w:eastAsia="lv-LV"/>
                </w:rPr>
                <w:t>2011/485/E</w:t>
              </w:r>
            </w:hyperlink>
            <w:r w:rsidRPr="006E14AC">
              <w:rPr>
                <w:rFonts w:ascii="Times New Roman" w:eastAsia="Times New Roman" w:hAnsi="Times New Roman" w:cs="Times New Roman"/>
                <w:sz w:val="24"/>
                <w:szCs w:val="24"/>
                <w:lang w:eastAsia="lv-LV"/>
              </w:rPr>
              <w:t>U, ar ko izdara grozījumus lēmumā </w:t>
            </w:r>
            <w:hyperlink r:id="rId24" w:history="1">
              <w:r w:rsidRPr="006E14AC">
                <w:rPr>
                  <w:rFonts w:ascii="Times New Roman" w:eastAsia="Times New Roman" w:hAnsi="Times New Roman" w:cs="Times New Roman"/>
                  <w:sz w:val="24"/>
                  <w:szCs w:val="24"/>
                  <w:lang w:eastAsia="lv-LV"/>
                </w:rPr>
                <w:t>2005/50/EK</w:t>
              </w:r>
            </w:hyperlink>
            <w:r w:rsidRPr="006E14AC">
              <w:rPr>
                <w:rFonts w:ascii="Times New Roman" w:eastAsia="Times New Roman" w:hAnsi="Times New Roman" w:cs="Times New Roman"/>
                <w:sz w:val="24"/>
                <w:szCs w:val="24"/>
                <w:lang w:eastAsia="lv-LV"/>
              </w:rPr>
              <w:t xml:space="preserve"> par 24 GHz diapazona radiofrekvenču spektra joslas saskaņošanu automobiļu </w:t>
            </w:r>
            <w:proofErr w:type="spellStart"/>
            <w:r w:rsidRPr="006E14AC">
              <w:rPr>
                <w:rFonts w:ascii="Times New Roman" w:eastAsia="Times New Roman" w:hAnsi="Times New Roman" w:cs="Times New Roman"/>
                <w:sz w:val="24"/>
                <w:szCs w:val="24"/>
                <w:lang w:eastAsia="lv-LV"/>
              </w:rPr>
              <w:t>tuvdarbības</w:t>
            </w:r>
            <w:proofErr w:type="spellEnd"/>
            <w:r w:rsidRPr="006E14AC">
              <w:rPr>
                <w:rFonts w:ascii="Times New Roman" w:eastAsia="Times New Roman" w:hAnsi="Times New Roman" w:cs="Times New Roman"/>
                <w:sz w:val="24"/>
                <w:szCs w:val="24"/>
                <w:lang w:eastAsia="lv-LV"/>
              </w:rPr>
              <w:t xml:space="preserve"> radaru iekārtu lietojumā uz ierobežotu laiku Kopienā</w:t>
            </w:r>
          </w:p>
        </w:tc>
      </w:tr>
      <w:tr w:rsidR="004A7A72" w:rsidRPr="006E14AC" w14:paraId="663CA143" w14:textId="77777777" w:rsidTr="00D42116">
        <w:tc>
          <w:tcPr>
            <w:tcW w:w="846" w:type="dxa"/>
          </w:tcPr>
          <w:p w14:paraId="37A6554A" w14:textId="14F39EE6"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1.15.</w:t>
            </w:r>
          </w:p>
        </w:tc>
        <w:tc>
          <w:tcPr>
            <w:tcW w:w="8215" w:type="dxa"/>
          </w:tcPr>
          <w:p w14:paraId="0322B9C0" w14:textId="4FAE8F38"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Komisijas 2011. gada 8. decembra Lēmums </w:t>
            </w:r>
            <w:hyperlink r:id="rId25" w:history="1">
              <w:r w:rsidRPr="006E14AC">
                <w:rPr>
                  <w:rFonts w:ascii="Times New Roman" w:eastAsia="Times New Roman" w:hAnsi="Times New Roman" w:cs="Times New Roman"/>
                  <w:sz w:val="24"/>
                  <w:szCs w:val="24"/>
                  <w:lang w:eastAsia="lv-LV"/>
                </w:rPr>
                <w:t>2011/829/ES</w:t>
              </w:r>
            </w:hyperlink>
            <w:r w:rsidRPr="006E14AC">
              <w:rPr>
                <w:rFonts w:ascii="Times New Roman" w:eastAsia="Times New Roman" w:hAnsi="Times New Roman" w:cs="Times New Roman"/>
                <w:sz w:val="24"/>
                <w:szCs w:val="24"/>
                <w:lang w:eastAsia="lv-LV"/>
              </w:rPr>
              <w:t>, ar ko izdara grozījumus Lēmumā </w:t>
            </w:r>
            <w:hyperlink r:id="rId26" w:history="1">
              <w:r w:rsidRPr="006E14AC">
                <w:rPr>
                  <w:rFonts w:ascii="Times New Roman" w:eastAsia="Times New Roman" w:hAnsi="Times New Roman" w:cs="Times New Roman"/>
                  <w:sz w:val="24"/>
                  <w:szCs w:val="24"/>
                  <w:lang w:eastAsia="lv-LV"/>
                </w:rPr>
                <w:t>2006/771/EK</w:t>
              </w:r>
            </w:hyperlink>
            <w:r w:rsidRPr="006E14AC">
              <w:rPr>
                <w:rFonts w:ascii="Times New Roman" w:eastAsia="Times New Roman" w:hAnsi="Times New Roman" w:cs="Times New Roman"/>
                <w:sz w:val="24"/>
                <w:szCs w:val="24"/>
                <w:lang w:eastAsia="lv-LV"/>
              </w:rPr>
              <w:t> par maza darbības attāluma ierīcēs izmantotā radiofrekvenču spektra saskaņošanu</w:t>
            </w:r>
          </w:p>
        </w:tc>
      </w:tr>
      <w:tr w:rsidR="004A7A72" w:rsidRPr="006E14AC" w14:paraId="582837F3" w14:textId="77777777" w:rsidTr="00D42116">
        <w:tc>
          <w:tcPr>
            <w:tcW w:w="846" w:type="dxa"/>
          </w:tcPr>
          <w:p w14:paraId="3F036F1E" w14:textId="6123A8A2"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1.16.</w:t>
            </w:r>
          </w:p>
        </w:tc>
        <w:tc>
          <w:tcPr>
            <w:tcW w:w="8215" w:type="dxa"/>
          </w:tcPr>
          <w:p w14:paraId="01CAB256" w14:textId="56EB3165"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Komisijas 2012. gada 5. novembra Lēmums </w:t>
            </w:r>
            <w:hyperlink r:id="rId27" w:history="1">
              <w:r w:rsidRPr="006E14AC">
                <w:rPr>
                  <w:rFonts w:ascii="Times New Roman" w:eastAsia="Times New Roman" w:hAnsi="Times New Roman" w:cs="Times New Roman"/>
                  <w:sz w:val="24"/>
                  <w:szCs w:val="24"/>
                  <w:lang w:eastAsia="lv-LV"/>
                </w:rPr>
                <w:t>2012/688/ES</w:t>
              </w:r>
            </w:hyperlink>
            <w:r w:rsidRPr="006E14AC">
              <w:rPr>
                <w:rFonts w:ascii="Times New Roman" w:eastAsia="Times New Roman" w:hAnsi="Times New Roman" w:cs="Times New Roman"/>
                <w:sz w:val="24"/>
                <w:szCs w:val="24"/>
                <w:lang w:eastAsia="lv-LV"/>
              </w:rPr>
              <w:t xml:space="preserve"> par 1920–1980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un 2110–2170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frekvenču joslu harmonizāciju tādu zemes sistēmu vajadzībām, kas Savienībā spēj nodrošināt elektronisko sakaru pakalpojumus</w:t>
            </w:r>
          </w:p>
        </w:tc>
      </w:tr>
      <w:tr w:rsidR="004A7A72" w:rsidRPr="006E14AC" w14:paraId="7AC00FC4" w14:textId="77777777" w:rsidTr="00D42116">
        <w:tc>
          <w:tcPr>
            <w:tcW w:w="846" w:type="dxa"/>
          </w:tcPr>
          <w:p w14:paraId="19F753A7" w14:textId="300928D7"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1.17.</w:t>
            </w:r>
          </w:p>
        </w:tc>
        <w:tc>
          <w:tcPr>
            <w:tcW w:w="8215" w:type="dxa"/>
          </w:tcPr>
          <w:p w14:paraId="4050E723" w14:textId="65331875"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Komisijas 2013. gada 12. novembra Lēmums </w:t>
            </w:r>
            <w:hyperlink r:id="rId28" w:history="1">
              <w:r w:rsidRPr="006E14AC">
                <w:rPr>
                  <w:rFonts w:ascii="Times New Roman" w:eastAsia="Times New Roman" w:hAnsi="Times New Roman" w:cs="Times New Roman"/>
                  <w:sz w:val="24"/>
                  <w:szCs w:val="24"/>
                  <w:lang w:eastAsia="lv-LV"/>
                </w:rPr>
                <w:t>2013/654/ES</w:t>
              </w:r>
            </w:hyperlink>
            <w:r w:rsidRPr="006E14AC">
              <w:rPr>
                <w:rFonts w:ascii="Times New Roman" w:eastAsia="Times New Roman" w:hAnsi="Times New Roman" w:cs="Times New Roman"/>
                <w:sz w:val="24"/>
                <w:szCs w:val="24"/>
                <w:lang w:eastAsia="lv-LV"/>
              </w:rPr>
              <w:t xml:space="preserve"> par grozījumiem Lēmumā </w:t>
            </w:r>
            <w:hyperlink r:id="rId29" w:history="1">
              <w:r w:rsidRPr="006E14AC">
                <w:rPr>
                  <w:rFonts w:ascii="Times New Roman" w:eastAsia="Times New Roman" w:hAnsi="Times New Roman" w:cs="Times New Roman"/>
                  <w:sz w:val="24"/>
                  <w:szCs w:val="24"/>
                  <w:lang w:eastAsia="lv-LV"/>
                </w:rPr>
                <w:t>2008/294/EK</w:t>
              </w:r>
            </w:hyperlink>
            <w:r w:rsidRPr="006E14AC">
              <w:rPr>
                <w:rFonts w:ascii="Times New Roman" w:eastAsia="Times New Roman" w:hAnsi="Times New Roman" w:cs="Times New Roman"/>
                <w:sz w:val="24"/>
                <w:szCs w:val="24"/>
                <w:lang w:eastAsia="lv-LV"/>
              </w:rPr>
              <w:t>, iekļaujot papildu piekļuves tehnoloģijas un frekvenču joslas mobilo sakaru pakalpojumiem gaisa kuģos (MCA pakalpojumiem)</w:t>
            </w:r>
          </w:p>
        </w:tc>
      </w:tr>
      <w:tr w:rsidR="004A7A72" w:rsidRPr="006E14AC" w14:paraId="6E582E4B" w14:textId="77777777" w:rsidTr="00D42116">
        <w:tc>
          <w:tcPr>
            <w:tcW w:w="846" w:type="dxa"/>
          </w:tcPr>
          <w:p w14:paraId="3529BB2E" w14:textId="6A709FB6"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1.18.</w:t>
            </w:r>
          </w:p>
        </w:tc>
        <w:tc>
          <w:tcPr>
            <w:tcW w:w="8215" w:type="dxa"/>
          </w:tcPr>
          <w:p w14:paraId="1CFE999F" w14:textId="4C0B237F"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Komisijas 2013. gada 11. decembra Lēmums </w:t>
            </w:r>
            <w:hyperlink r:id="rId30" w:history="1">
              <w:r w:rsidRPr="006E14AC">
                <w:rPr>
                  <w:rFonts w:ascii="Times New Roman" w:eastAsia="Times New Roman" w:hAnsi="Times New Roman" w:cs="Times New Roman"/>
                  <w:sz w:val="24"/>
                  <w:szCs w:val="24"/>
                  <w:lang w:eastAsia="lv-LV"/>
                </w:rPr>
                <w:t>2013/752/ES</w:t>
              </w:r>
            </w:hyperlink>
            <w:r w:rsidRPr="006E14AC">
              <w:rPr>
                <w:rFonts w:ascii="Times New Roman" w:eastAsia="Times New Roman" w:hAnsi="Times New Roman" w:cs="Times New Roman"/>
                <w:sz w:val="24"/>
                <w:szCs w:val="24"/>
                <w:lang w:eastAsia="lv-LV"/>
              </w:rPr>
              <w:t>, ar ko izdara grozījumus Lēmumā </w:t>
            </w:r>
            <w:hyperlink r:id="rId31" w:history="1">
              <w:r w:rsidRPr="006E14AC">
                <w:rPr>
                  <w:rFonts w:ascii="Times New Roman" w:eastAsia="Times New Roman" w:hAnsi="Times New Roman" w:cs="Times New Roman"/>
                  <w:sz w:val="24"/>
                  <w:szCs w:val="24"/>
                  <w:lang w:eastAsia="lv-LV"/>
                </w:rPr>
                <w:t>2006/771/EK</w:t>
              </w:r>
            </w:hyperlink>
            <w:r w:rsidRPr="006E14AC">
              <w:rPr>
                <w:rFonts w:ascii="Times New Roman" w:eastAsia="Times New Roman" w:hAnsi="Times New Roman" w:cs="Times New Roman"/>
                <w:sz w:val="24"/>
                <w:szCs w:val="24"/>
                <w:lang w:eastAsia="lv-LV"/>
              </w:rPr>
              <w:t xml:space="preserve"> par maza darbības attāluma ierīcēs izmantotā radiofrekvenču spektra saskaņošanu un Lēmuma </w:t>
            </w:r>
            <w:hyperlink r:id="rId32" w:history="1">
              <w:r w:rsidRPr="006E14AC">
                <w:rPr>
                  <w:rFonts w:ascii="Times New Roman" w:eastAsia="Times New Roman" w:hAnsi="Times New Roman" w:cs="Times New Roman"/>
                  <w:sz w:val="24"/>
                  <w:szCs w:val="24"/>
                  <w:lang w:eastAsia="lv-LV"/>
                </w:rPr>
                <w:t>2005/928/EK</w:t>
              </w:r>
            </w:hyperlink>
            <w:r w:rsidRPr="006E14AC">
              <w:rPr>
                <w:rFonts w:ascii="Times New Roman" w:eastAsia="Times New Roman" w:hAnsi="Times New Roman" w:cs="Times New Roman"/>
                <w:sz w:val="24"/>
                <w:szCs w:val="24"/>
                <w:lang w:eastAsia="lv-LV"/>
              </w:rPr>
              <w:t> atcelšanu</w:t>
            </w:r>
          </w:p>
        </w:tc>
      </w:tr>
      <w:tr w:rsidR="004A7A72" w:rsidRPr="006E14AC" w14:paraId="1116D188" w14:textId="77777777" w:rsidTr="00D42116">
        <w:tc>
          <w:tcPr>
            <w:tcW w:w="846" w:type="dxa"/>
          </w:tcPr>
          <w:p w14:paraId="47F4E2AA" w14:textId="7DAC00A0"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1.19.</w:t>
            </w:r>
          </w:p>
        </w:tc>
        <w:tc>
          <w:tcPr>
            <w:tcW w:w="8215" w:type="dxa"/>
          </w:tcPr>
          <w:p w14:paraId="18A8717F" w14:textId="7899105A"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Komisijas 2014. gada 2. maija Īstenošanas lēmums </w:t>
            </w:r>
            <w:hyperlink r:id="rId33" w:history="1">
              <w:r w:rsidRPr="006E14AC">
                <w:rPr>
                  <w:rFonts w:ascii="Times New Roman" w:eastAsia="Times New Roman" w:hAnsi="Times New Roman" w:cs="Times New Roman"/>
                  <w:sz w:val="24"/>
                  <w:szCs w:val="24"/>
                  <w:lang w:eastAsia="lv-LV"/>
                </w:rPr>
                <w:t>2014/276/ES</w:t>
              </w:r>
            </w:hyperlink>
            <w:r w:rsidRPr="006E14AC">
              <w:rPr>
                <w:rFonts w:ascii="Times New Roman" w:eastAsia="Times New Roman" w:hAnsi="Times New Roman" w:cs="Times New Roman"/>
                <w:sz w:val="24"/>
                <w:szCs w:val="24"/>
                <w:lang w:eastAsia="lv-LV"/>
              </w:rPr>
              <w:t xml:space="preserve"> par grozījumiem Lēmumā </w:t>
            </w:r>
            <w:hyperlink r:id="rId34" w:history="1">
              <w:r w:rsidRPr="006E14AC">
                <w:rPr>
                  <w:rFonts w:ascii="Times New Roman" w:eastAsia="Times New Roman" w:hAnsi="Times New Roman" w:cs="Times New Roman"/>
                  <w:sz w:val="24"/>
                  <w:szCs w:val="24"/>
                  <w:lang w:eastAsia="lv-LV"/>
                </w:rPr>
                <w:t>2008/411/EK</w:t>
              </w:r>
            </w:hyperlink>
            <w:r w:rsidRPr="006E14AC">
              <w:rPr>
                <w:rFonts w:ascii="Times New Roman" w:eastAsia="Times New Roman" w:hAnsi="Times New Roman" w:cs="Times New Roman"/>
                <w:sz w:val="24"/>
                <w:szCs w:val="24"/>
                <w:lang w:eastAsia="lv-LV"/>
              </w:rPr>
              <w:t xml:space="preserve"> par 3400–3800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frekvenču joslas harmonizāciju tādu zemes sistēmu vajadzībām, kas Kopienā spēj nodrošināt elektronisko sakaru pakalpojumus</w:t>
            </w:r>
          </w:p>
        </w:tc>
      </w:tr>
      <w:tr w:rsidR="004A7A72" w:rsidRPr="006E14AC" w14:paraId="363A16CC" w14:textId="77777777" w:rsidTr="00D42116">
        <w:tc>
          <w:tcPr>
            <w:tcW w:w="846" w:type="dxa"/>
          </w:tcPr>
          <w:p w14:paraId="33711151" w14:textId="4AA0EF76"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1.20.</w:t>
            </w:r>
          </w:p>
        </w:tc>
        <w:tc>
          <w:tcPr>
            <w:tcW w:w="8215" w:type="dxa"/>
          </w:tcPr>
          <w:p w14:paraId="13B23223" w14:textId="6A6B5256"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Komisijas 2014. gada 1. septembra Lēmums </w:t>
            </w:r>
            <w:hyperlink r:id="rId35" w:history="1">
              <w:r w:rsidRPr="006E14AC">
                <w:rPr>
                  <w:rFonts w:ascii="Times New Roman" w:eastAsia="Times New Roman" w:hAnsi="Times New Roman" w:cs="Times New Roman"/>
                  <w:sz w:val="24"/>
                  <w:szCs w:val="24"/>
                  <w:lang w:eastAsia="lv-LV"/>
                </w:rPr>
                <w:t>2014/641/ES</w:t>
              </w:r>
            </w:hyperlink>
            <w:r w:rsidRPr="006E14AC">
              <w:rPr>
                <w:rFonts w:ascii="Times New Roman" w:eastAsia="Times New Roman" w:hAnsi="Times New Roman" w:cs="Times New Roman"/>
                <w:sz w:val="24"/>
                <w:szCs w:val="24"/>
                <w:lang w:eastAsia="lv-LV"/>
              </w:rPr>
              <w:t xml:space="preserve"> par harmonizētajiem tehniskajiem nosacījumiem radiofrekvenču spektra izmantošanai programmu gatavošanas un īpašo pasākumu bezvadu skaņas iekārtās Savienībā</w:t>
            </w:r>
          </w:p>
        </w:tc>
      </w:tr>
      <w:tr w:rsidR="004A7A72" w:rsidRPr="006E14AC" w14:paraId="66428208" w14:textId="77777777" w:rsidTr="00D42116">
        <w:tc>
          <w:tcPr>
            <w:tcW w:w="846" w:type="dxa"/>
          </w:tcPr>
          <w:p w14:paraId="6D895EC8" w14:textId="1B0F6D18"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1.21.</w:t>
            </w:r>
          </w:p>
        </w:tc>
        <w:tc>
          <w:tcPr>
            <w:tcW w:w="8215" w:type="dxa"/>
          </w:tcPr>
          <w:p w14:paraId="4A061438" w14:textId="4FE7AD1B"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2015. gada 8. maija Īstenošanas lēmums (ES) 2015/750 par 1427–1517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frekvenču joslas harmonizāciju tādu zemes sistēmu vajadzībām, kas Savienībā spēj nodrošināt elektronisko sakaru pakalpojumus</w:t>
            </w:r>
          </w:p>
        </w:tc>
      </w:tr>
      <w:tr w:rsidR="004A7A72" w:rsidRPr="006E14AC" w14:paraId="4552DE1D" w14:textId="77777777" w:rsidTr="00D42116">
        <w:tc>
          <w:tcPr>
            <w:tcW w:w="846" w:type="dxa"/>
          </w:tcPr>
          <w:p w14:paraId="20835702" w14:textId="39D8E26C"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1.22.</w:t>
            </w:r>
          </w:p>
        </w:tc>
        <w:tc>
          <w:tcPr>
            <w:tcW w:w="8215" w:type="dxa"/>
          </w:tcPr>
          <w:p w14:paraId="69ADA2FE" w14:textId="233CAB44"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Komisijas 2016. gada 8. marta Īstenošanas lēmums </w:t>
            </w:r>
            <w:hyperlink r:id="rId36" w:history="1">
              <w:r w:rsidRPr="006E14AC">
                <w:rPr>
                  <w:rFonts w:ascii="Times New Roman" w:eastAsia="Times New Roman" w:hAnsi="Times New Roman" w:cs="Times New Roman"/>
                  <w:sz w:val="24"/>
                  <w:szCs w:val="24"/>
                  <w:lang w:eastAsia="lv-LV"/>
                </w:rPr>
                <w:t>2016/339</w:t>
              </w:r>
            </w:hyperlink>
            <w:r w:rsidRPr="006E14AC">
              <w:rPr>
                <w:rFonts w:ascii="Times New Roman" w:eastAsia="Times New Roman" w:hAnsi="Times New Roman" w:cs="Times New Roman"/>
                <w:sz w:val="24"/>
                <w:szCs w:val="24"/>
                <w:lang w:eastAsia="lv-LV"/>
              </w:rPr>
              <w:t xml:space="preserve"> par 2010–2025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frekvenču joslas harmonizēšanu portatīvām vai mobilām bezvadu </w:t>
            </w:r>
            <w:proofErr w:type="spellStart"/>
            <w:r w:rsidRPr="006E14AC">
              <w:rPr>
                <w:rFonts w:ascii="Times New Roman" w:eastAsia="Times New Roman" w:hAnsi="Times New Roman" w:cs="Times New Roman"/>
                <w:sz w:val="24"/>
                <w:szCs w:val="24"/>
                <w:lang w:eastAsia="lv-LV"/>
              </w:rPr>
              <w:t>videolīnijām</w:t>
            </w:r>
            <w:proofErr w:type="spellEnd"/>
            <w:r w:rsidRPr="006E14AC">
              <w:rPr>
                <w:rFonts w:ascii="Times New Roman" w:eastAsia="Times New Roman" w:hAnsi="Times New Roman" w:cs="Times New Roman"/>
                <w:sz w:val="24"/>
                <w:szCs w:val="24"/>
                <w:lang w:eastAsia="lv-LV"/>
              </w:rPr>
              <w:t xml:space="preserve"> un bezvadu kamerām, ko izmanto programmu gatavošanai un īpašajiem pasākumiem</w:t>
            </w:r>
          </w:p>
        </w:tc>
      </w:tr>
      <w:tr w:rsidR="004A7A72" w:rsidRPr="006E14AC" w14:paraId="52596E87" w14:textId="77777777" w:rsidTr="00D42116">
        <w:tc>
          <w:tcPr>
            <w:tcW w:w="846" w:type="dxa"/>
          </w:tcPr>
          <w:p w14:paraId="171FD155" w14:textId="5073259F"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1.23.</w:t>
            </w:r>
          </w:p>
        </w:tc>
        <w:tc>
          <w:tcPr>
            <w:tcW w:w="8215" w:type="dxa"/>
          </w:tcPr>
          <w:p w14:paraId="3AAE78B4" w14:textId="2FC4B9CD"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2016. gada 28. aprīļa Īstenošanas lēmums (ES) 2016/687 par 694–790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frekvenču joslas harmonizāciju tādu zemes sistēmu vajadzībām, kas Savienībā spēj sniegt bezvadu platjoslas elektronisko sakaru pakalpojumus, un elastīgai nacionālai izmantošanai</w:t>
            </w:r>
          </w:p>
        </w:tc>
      </w:tr>
      <w:tr w:rsidR="004A7A72" w:rsidRPr="006E14AC" w14:paraId="047134AE" w14:textId="77777777" w:rsidTr="00D42116">
        <w:tc>
          <w:tcPr>
            <w:tcW w:w="846" w:type="dxa"/>
          </w:tcPr>
          <w:p w14:paraId="4BF2026A" w14:textId="6C771D2D"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lastRenderedPageBreak/>
              <w:t>1.24.</w:t>
            </w:r>
          </w:p>
        </w:tc>
        <w:tc>
          <w:tcPr>
            <w:tcW w:w="8215" w:type="dxa"/>
          </w:tcPr>
          <w:p w14:paraId="1E538064" w14:textId="525B9E84"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Komisijas 2016. gada 16. decembra Īstenošanas lēmums (ES) 2016/2317, ar ko groza Komisijas Lēmumu </w:t>
            </w:r>
            <w:hyperlink r:id="rId37" w:history="1">
              <w:r w:rsidRPr="006E14AC">
                <w:rPr>
                  <w:rFonts w:ascii="Times New Roman" w:eastAsia="Times New Roman" w:hAnsi="Times New Roman" w:cs="Times New Roman"/>
                  <w:sz w:val="24"/>
                  <w:szCs w:val="24"/>
                  <w:lang w:eastAsia="lv-LV"/>
                </w:rPr>
                <w:t>2008/294/EK</w:t>
              </w:r>
            </w:hyperlink>
            <w:r w:rsidRPr="006E14AC">
              <w:rPr>
                <w:rFonts w:ascii="Times New Roman" w:eastAsia="Times New Roman" w:hAnsi="Times New Roman" w:cs="Times New Roman"/>
                <w:sz w:val="24"/>
                <w:szCs w:val="24"/>
                <w:lang w:eastAsia="lv-LV"/>
              </w:rPr>
              <w:t xml:space="preserve"> un Komisijas Īstenošanas lēmumu </w:t>
            </w:r>
            <w:hyperlink r:id="rId38" w:history="1">
              <w:r w:rsidRPr="006E14AC">
                <w:rPr>
                  <w:rFonts w:ascii="Times New Roman" w:eastAsia="Times New Roman" w:hAnsi="Times New Roman" w:cs="Times New Roman"/>
                  <w:sz w:val="24"/>
                  <w:szCs w:val="24"/>
                  <w:lang w:eastAsia="lv-LV"/>
                </w:rPr>
                <w:t>2013/654/ES</w:t>
              </w:r>
            </w:hyperlink>
            <w:r w:rsidRPr="006E14AC">
              <w:rPr>
                <w:rFonts w:ascii="Times New Roman" w:eastAsia="Times New Roman" w:hAnsi="Times New Roman" w:cs="Times New Roman"/>
                <w:sz w:val="24"/>
                <w:szCs w:val="24"/>
                <w:lang w:eastAsia="lv-LV"/>
              </w:rPr>
              <w:t>, lai vienkāršotu mobilo sakaru darbību gaisa kuģos (MCA pakalpojumus) Savienībā</w:t>
            </w:r>
          </w:p>
        </w:tc>
      </w:tr>
      <w:tr w:rsidR="004A7A72" w:rsidRPr="006E14AC" w14:paraId="3EE677CE" w14:textId="77777777" w:rsidTr="00D42116">
        <w:tc>
          <w:tcPr>
            <w:tcW w:w="846" w:type="dxa"/>
          </w:tcPr>
          <w:p w14:paraId="05FE9B1B" w14:textId="30A72E13"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1.25.</w:t>
            </w:r>
          </w:p>
        </w:tc>
        <w:tc>
          <w:tcPr>
            <w:tcW w:w="8215" w:type="dxa"/>
          </w:tcPr>
          <w:p w14:paraId="13910E83" w14:textId="61A63916"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Komisijas 2017. gada 1. februāra Īstenošanas lēmums (ES) 2017/191, ar ko groza Lēmumu </w:t>
            </w:r>
            <w:hyperlink r:id="rId39" w:history="1">
              <w:r w:rsidRPr="006E14AC">
                <w:rPr>
                  <w:rFonts w:ascii="Times New Roman" w:eastAsia="Times New Roman" w:hAnsi="Times New Roman" w:cs="Times New Roman"/>
                  <w:sz w:val="24"/>
                  <w:szCs w:val="24"/>
                  <w:lang w:eastAsia="lv-LV"/>
                </w:rPr>
                <w:t>2010/166/ES</w:t>
              </w:r>
            </w:hyperlink>
            <w:r w:rsidRPr="006E14AC">
              <w:rPr>
                <w:rFonts w:ascii="Times New Roman" w:eastAsia="Times New Roman" w:hAnsi="Times New Roman" w:cs="Times New Roman"/>
                <w:sz w:val="24"/>
                <w:szCs w:val="24"/>
                <w:lang w:eastAsia="lv-LV"/>
              </w:rPr>
              <w:t>, ieviešot jaunas tehnoloģijas un frekvenču joslas mobilo sakaru pakalpojumiem kuģos (MCV pakalpojumiem) Eiropas Savienībā</w:t>
            </w:r>
          </w:p>
        </w:tc>
      </w:tr>
      <w:tr w:rsidR="004A7A72" w:rsidRPr="006E14AC" w14:paraId="5002DD67" w14:textId="77777777" w:rsidTr="00D42116">
        <w:tc>
          <w:tcPr>
            <w:tcW w:w="846" w:type="dxa"/>
          </w:tcPr>
          <w:p w14:paraId="2A8EE6DD" w14:textId="189F69F1"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1.26.</w:t>
            </w:r>
          </w:p>
        </w:tc>
        <w:tc>
          <w:tcPr>
            <w:tcW w:w="8215" w:type="dxa"/>
          </w:tcPr>
          <w:p w14:paraId="473B7BA2" w14:textId="6DC9CC9F"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Eiropas Parlamenta un Padomes 2017. gada 17. maija Lēmums (ES) 2017/899 par 470–790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frekvenču joslas izmantošanu Savienībā</w:t>
            </w:r>
          </w:p>
        </w:tc>
      </w:tr>
      <w:tr w:rsidR="004A7A72" w:rsidRPr="006E14AC" w14:paraId="6EEDE729" w14:textId="77777777" w:rsidTr="00D42116">
        <w:tc>
          <w:tcPr>
            <w:tcW w:w="846" w:type="dxa"/>
          </w:tcPr>
          <w:p w14:paraId="18F4934F" w14:textId="36B010A1"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1.27.</w:t>
            </w:r>
          </w:p>
        </w:tc>
        <w:tc>
          <w:tcPr>
            <w:tcW w:w="8215" w:type="dxa"/>
          </w:tcPr>
          <w:p w14:paraId="79C3FDD6" w14:textId="698321BF"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Komisijas 2017. gada 8. augusta Īstenošanas lēmums </w:t>
            </w:r>
            <w:hyperlink r:id="rId40" w:history="1">
              <w:r w:rsidRPr="006E14AC">
                <w:rPr>
                  <w:rFonts w:ascii="Times New Roman" w:eastAsia="Times New Roman" w:hAnsi="Times New Roman" w:cs="Times New Roman"/>
                  <w:sz w:val="24"/>
                  <w:szCs w:val="24"/>
                  <w:lang w:eastAsia="lv-LV"/>
                </w:rPr>
                <w:t>2017/1483/EK</w:t>
              </w:r>
            </w:hyperlink>
            <w:r w:rsidRPr="006E14AC">
              <w:rPr>
                <w:rFonts w:ascii="Times New Roman" w:eastAsia="Times New Roman" w:hAnsi="Times New Roman" w:cs="Times New Roman"/>
                <w:sz w:val="24"/>
                <w:szCs w:val="24"/>
                <w:lang w:eastAsia="lv-LV"/>
              </w:rPr>
              <w:t xml:space="preserve"> par Lēmuma 2006/771/EK par maza darbības attāluma ierīcēs izmantotā radiofrekvenču spektra saskaņošanu grozījumiem un Lēmuma 2006/804/EK atcelšanu</w:t>
            </w:r>
          </w:p>
        </w:tc>
      </w:tr>
      <w:tr w:rsidR="004A7A72" w:rsidRPr="006E14AC" w14:paraId="21ECC68F" w14:textId="77777777" w:rsidTr="00D42116">
        <w:tc>
          <w:tcPr>
            <w:tcW w:w="846" w:type="dxa"/>
          </w:tcPr>
          <w:p w14:paraId="37CA09CE" w14:textId="2F63A368"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1.28.</w:t>
            </w:r>
          </w:p>
        </w:tc>
        <w:tc>
          <w:tcPr>
            <w:tcW w:w="8215" w:type="dxa"/>
          </w:tcPr>
          <w:p w14:paraId="5CE6EBB1" w14:textId="06615853"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Komisijas 2017. gada 10. novembra Īstenošanas lēmums 2017/2077/ES par grozījumiem Lēmumā </w:t>
            </w:r>
            <w:hyperlink r:id="rId41" w:history="1">
              <w:r w:rsidRPr="006E14AC">
                <w:rPr>
                  <w:rFonts w:ascii="Times New Roman" w:eastAsia="Times New Roman" w:hAnsi="Times New Roman" w:cs="Times New Roman"/>
                  <w:sz w:val="24"/>
                  <w:szCs w:val="24"/>
                  <w:lang w:eastAsia="lv-LV"/>
                </w:rPr>
                <w:t>2005/50/EK</w:t>
              </w:r>
            </w:hyperlink>
            <w:r w:rsidRPr="006E14AC">
              <w:rPr>
                <w:rFonts w:ascii="Times New Roman" w:eastAsia="Times New Roman" w:hAnsi="Times New Roman" w:cs="Times New Roman"/>
                <w:sz w:val="24"/>
                <w:szCs w:val="24"/>
                <w:lang w:eastAsia="lv-LV"/>
              </w:rPr>
              <w:t xml:space="preserve"> par 24 GHz diapazona radiofrekvenču spektra joslas saskaņošanu automobiļu </w:t>
            </w:r>
            <w:proofErr w:type="spellStart"/>
            <w:r w:rsidRPr="006E14AC">
              <w:rPr>
                <w:rFonts w:ascii="Times New Roman" w:eastAsia="Times New Roman" w:hAnsi="Times New Roman" w:cs="Times New Roman"/>
                <w:sz w:val="24"/>
                <w:szCs w:val="24"/>
                <w:lang w:eastAsia="lv-LV"/>
              </w:rPr>
              <w:t>tuvdarbības</w:t>
            </w:r>
            <w:proofErr w:type="spellEnd"/>
            <w:r w:rsidRPr="006E14AC">
              <w:rPr>
                <w:rFonts w:ascii="Times New Roman" w:eastAsia="Times New Roman" w:hAnsi="Times New Roman" w:cs="Times New Roman"/>
                <w:sz w:val="24"/>
                <w:szCs w:val="24"/>
                <w:lang w:eastAsia="lv-LV"/>
              </w:rPr>
              <w:t xml:space="preserve"> radaru iekārtu lietojumā uz ierobežotu laiku Kopienā</w:t>
            </w:r>
          </w:p>
        </w:tc>
      </w:tr>
      <w:tr w:rsidR="004A7A72" w:rsidRPr="006E14AC" w14:paraId="76501B60" w14:textId="77777777" w:rsidTr="00D42116">
        <w:tc>
          <w:tcPr>
            <w:tcW w:w="846" w:type="dxa"/>
          </w:tcPr>
          <w:p w14:paraId="138A2CF3" w14:textId="1C80A546"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1.29.</w:t>
            </w:r>
          </w:p>
        </w:tc>
        <w:tc>
          <w:tcPr>
            <w:tcW w:w="8215" w:type="dxa"/>
          </w:tcPr>
          <w:p w14:paraId="36EB2751" w14:textId="4349EFBA"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2018. gada 26. aprīļa Īstenošanas lēmums (ES) 2018/661, ar ko Īstenošanas lēmumu (ES) 2015/750 par 1452–1492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frekvenču joslas harmonizāciju tādu zemes sistēmu vajadzībām, kas Savienībā spēj nodrošināt elektronisko sakaru pakalpojumus, groza, to attiecinot arī uz harmonizēto 1427–1452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un 1492–1517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frekvenču joslu</w:t>
            </w:r>
          </w:p>
        </w:tc>
      </w:tr>
      <w:tr w:rsidR="004A7A72" w:rsidRPr="006E14AC" w14:paraId="6DFF01DE" w14:textId="77777777" w:rsidTr="00D42116">
        <w:tc>
          <w:tcPr>
            <w:tcW w:w="846" w:type="dxa"/>
          </w:tcPr>
          <w:p w14:paraId="7A37209E" w14:textId="0E5135C4"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1.30.</w:t>
            </w:r>
          </w:p>
        </w:tc>
        <w:tc>
          <w:tcPr>
            <w:tcW w:w="8215" w:type="dxa"/>
          </w:tcPr>
          <w:p w14:paraId="2FEB3939" w14:textId="6A02D842"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2018. gada 11. oktobra Īstenošanas lēmums (ES) </w:t>
            </w:r>
            <w:hyperlink r:id="rId42" w:history="1">
              <w:r w:rsidRPr="006E14AC">
                <w:rPr>
                  <w:rFonts w:ascii="Times New Roman" w:eastAsia="Times New Roman" w:hAnsi="Times New Roman" w:cs="Times New Roman"/>
                  <w:sz w:val="24"/>
                  <w:szCs w:val="24"/>
                  <w:lang w:eastAsia="lv-LV"/>
                </w:rPr>
                <w:t>2018/1538</w:t>
              </w:r>
            </w:hyperlink>
            <w:r w:rsidRPr="006E14AC">
              <w:rPr>
                <w:rFonts w:ascii="Times New Roman" w:eastAsia="Times New Roman" w:hAnsi="Times New Roman" w:cs="Times New Roman"/>
                <w:sz w:val="24"/>
                <w:szCs w:val="24"/>
                <w:lang w:eastAsia="lv-LV"/>
              </w:rPr>
              <w:t xml:space="preserve"> par radiofrekvenču spektra harmonizēšanu izmantošanai maza darbības attāluma ierīcēm 874–876 un 915–921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frekvenču joslās</w:t>
            </w:r>
          </w:p>
        </w:tc>
      </w:tr>
      <w:tr w:rsidR="004A7A72" w:rsidRPr="006E14AC" w14:paraId="5454DB13" w14:textId="77777777" w:rsidTr="00D42116">
        <w:tc>
          <w:tcPr>
            <w:tcW w:w="846" w:type="dxa"/>
          </w:tcPr>
          <w:p w14:paraId="6AF78A65" w14:textId="5C8850AE"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1.31.</w:t>
            </w:r>
          </w:p>
        </w:tc>
        <w:tc>
          <w:tcPr>
            <w:tcW w:w="8215" w:type="dxa"/>
          </w:tcPr>
          <w:p w14:paraId="3585427F" w14:textId="25E14F2C"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Komisijas 2019. gada 24. janvāra Īstenošanas lēmums (ES) 2019/235 par Lēmuma </w:t>
            </w:r>
            <w:hyperlink r:id="rId43" w:history="1">
              <w:r w:rsidRPr="006E14AC">
                <w:rPr>
                  <w:rFonts w:ascii="Times New Roman" w:eastAsia="Times New Roman" w:hAnsi="Times New Roman" w:cs="Times New Roman"/>
                  <w:sz w:val="24"/>
                  <w:szCs w:val="24"/>
                  <w:lang w:eastAsia="lv-LV"/>
                </w:rPr>
                <w:t>2008/411/EK</w:t>
              </w:r>
            </w:hyperlink>
            <w:r w:rsidRPr="006E14AC">
              <w:rPr>
                <w:rFonts w:ascii="Times New Roman" w:eastAsia="Times New Roman" w:hAnsi="Times New Roman" w:cs="Times New Roman"/>
                <w:sz w:val="24"/>
                <w:szCs w:val="24"/>
                <w:lang w:eastAsia="lv-LV"/>
              </w:rPr>
              <w:t xml:space="preserve"> grozīšanu attiecībā uz atjauninājumiem 3400–3800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frekvenču joslā piemērojamos attiecīgajos tehniskajos nosacījumos</w:t>
            </w:r>
          </w:p>
        </w:tc>
      </w:tr>
      <w:tr w:rsidR="004A7A72" w:rsidRPr="006E14AC" w14:paraId="272B150D" w14:textId="77777777" w:rsidTr="00D42116">
        <w:tc>
          <w:tcPr>
            <w:tcW w:w="846" w:type="dxa"/>
          </w:tcPr>
          <w:p w14:paraId="5665590B" w14:textId="748C110E"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1.32.</w:t>
            </w:r>
          </w:p>
        </w:tc>
        <w:tc>
          <w:tcPr>
            <w:tcW w:w="8215" w:type="dxa"/>
          </w:tcPr>
          <w:p w14:paraId="0915DF7B" w14:textId="1710AF4E"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2019. gada 14. maija Īstenošanas lēmums (ES) 2019/784 par 24,25–27,5 GHz frekvenču joslas harmonizāciju tādu zemes sistēmu vajadzībām, kas Savienībā spēj nodrošināt bezvadu platjoslas elektronisko sakaru pakalpojumus</w:t>
            </w:r>
          </w:p>
        </w:tc>
      </w:tr>
      <w:tr w:rsidR="004A7A72" w:rsidRPr="006E14AC" w14:paraId="16C0A1CF" w14:textId="77777777" w:rsidTr="00D42116">
        <w:tc>
          <w:tcPr>
            <w:tcW w:w="846" w:type="dxa"/>
          </w:tcPr>
          <w:p w14:paraId="3AD3635F" w14:textId="3C772ADD"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1.33.</w:t>
            </w:r>
          </w:p>
        </w:tc>
        <w:tc>
          <w:tcPr>
            <w:tcW w:w="8215" w:type="dxa"/>
          </w:tcPr>
          <w:p w14:paraId="5A981092" w14:textId="710562CB"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2019. gada 14. maija Īstenošanas lēmums (ES) 2019/785 par radiofrekvenču spektra harmonizēšanu Savienībā iekārtām, kurās izmanto ultraplatjoslas tehnoloģiju, un Lēmuma 2007/131/EK atcelšanu</w:t>
            </w:r>
          </w:p>
        </w:tc>
      </w:tr>
      <w:tr w:rsidR="004A7A72" w:rsidRPr="006E14AC" w14:paraId="291A981E" w14:textId="77777777" w:rsidTr="00D42116">
        <w:tc>
          <w:tcPr>
            <w:tcW w:w="846" w:type="dxa"/>
          </w:tcPr>
          <w:p w14:paraId="770C43D5" w14:textId="42B445F7"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1.34.</w:t>
            </w:r>
          </w:p>
        </w:tc>
        <w:tc>
          <w:tcPr>
            <w:tcW w:w="8215" w:type="dxa"/>
          </w:tcPr>
          <w:p w14:paraId="2C934714" w14:textId="7CFF1899"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Eiropas Komisijas 2019. gada 2. augusta Īstenošanas lēmums (ES) 2019/1345, kas groza Lēmumu </w:t>
            </w:r>
            <w:hyperlink r:id="rId44" w:history="1">
              <w:r w:rsidRPr="006E14AC">
                <w:rPr>
                  <w:rFonts w:ascii="Times New Roman" w:eastAsia="Times New Roman" w:hAnsi="Times New Roman" w:cs="Times New Roman"/>
                  <w:sz w:val="24"/>
                  <w:szCs w:val="24"/>
                  <w:lang w:eastAsia="lv-LV"/>
                </w:rPr>
                <w:t>2006/771/EK</w:t>
              </w:r>
            </w:hyperlink>
            <w:r w:rsidRPr="006E14AC">
              <w:rPr>
                <w:rFonts w:ascii="Times New Roman" w:eastAsia="Times New Roman" w:hAnsi="Times New Roman" w:cs="Times New Roman"/>
                <w:sz w:val="24"/>
                <w:szCs w:val="24"/>
                <w:lang w:eastAsia="lv-LV"/>
              </w:rPr>
              <w:t>, atjauninot harmonizētos tehniskos noteikumus radiofrekvenču spektra izmantošanai maza darbības attāluma ierīcēs</w:t>
            </w:r>
          </w:p>
        </w:tc>
      </w:tr>
      <w:tr w:rsidR="004A7A72" w:rsidRPr="006E14AC" w14:paraId="6A7667C2" w14:textId="77777777" w:rsidTr="00D42116">
        <w:tc>
          <w:tcPr>
            <w:tcW w:w="846" w:type="dxa"/>
          </w:tcPr>
          <w:p w14:paraId="7C4A862B" w14:textId="18ECDADE"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1.35.</w:t>
            </w:r>
          </w:p>
        </w:tc>
        <w:tc>
          <w:tcPr>
            <w:tcW w:w="8215" w:type="dxa"/>
          </w:tcPr>
          <w:p w14:paraId="520A2691" w14:textId="0F7F7521"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2020. gada 24. aprīļa Īstenošanas lēmums (ES) 2020/590, ar ko Lēmumu (ES) 2019/784 groza, lai atjauninātu attiecīgos tehniskos nosacījumus, kas piemērojami 24,25–27,5 GHz frekvenču joslai</w:t>
            </w:r>
          </w:p>
        </w:tc>
      </w:tr>
      <w:tr w:rsidR="004A7A72" w:rsidRPr="006E14AC" w14:paraId="311E3660" w14:textId="77777777" w:rsidTr="00D42116">
        <w:tc>
          <w:tcPr>
            <w:tcW w:w="846" w:type="dxa"/>
          </w:tcPr>
          <w:p w14:paraId="5B776A92" w14:textId="51952AB9"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1.36.</w:t>
            </w:r>
          </w:p>
        </w:tc>
        <w:tc>
          <w:tcPr>
            <w:tcW w:w="8215" w:type="dxa"/>
          </w:tcPr>
          <w:p w14:paraId="0F404EDD" w14:textId="05A578DB"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Komisijas 2020. gada 6. maija Īstenošanas lēmums (ES) 2020/667, ar ko groza Lēmumu (ES) 2012/688/ES, atjauninot attiecīgos tehniskos nosacījumus, kas piemērojami 1 920–1 980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un 2110–2170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frekvenču joslām</w:t>
            </w:r>
          </w:p>
        </w:tc>
      </w:tr>
      <w:tr w:rsidR="004A7A72" w:rsidRPr="006E14AC" w14:paraId="47AE71F3" w14:textId="77777777" w:rsidTr="00D42116">
        <w:tc>
          <w:tcPr>
            <w:tcW w:w="846" w:type="dxa"/>
          </w:tcPr>
          <w:p w14:paraId="6F18BC4A" w14:textId="6294DE43"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1.37.</w:t>
            </w:r>
          </w:p>
        </w:tc>
        <w:tc>
          <w:tcPr>
            <w:tcW w:w="8215" w:type="dxa"/>
          </w:tcPr>
          <w:p w14:paraId="22FC64A9" w14:textId="66B2989E"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Komisijas 2020. gada 8. maija Īstenošanas lēmums (ES) 2020/636, ar ko Lēmumu 2008/477/EK groza, lai atjauninātu attiecīgos tehniskos nosacījumus, kas piemērojami 2500–2690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frekvenču joslai</w:t>
            </w:r>
          </w:p>
        </w:tc>
      </w:tr>
      <w:tr w:rsidR="004A7A72" w:rsidRPr="006E14AC" w14:paraId="4530B868" w14:textId="77777777" w:rsidTr="00D42116">
        <w:tc>
          <w:tcPr>
            <w:tcW w:w="846" w:type="dxa"/>
          </w:tcPr>
          <w:p w14:paraId="0A5646DB" w14:textId="041F8F21"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lastRenderedPageBreak/>
              <w:t>1.38.</w:t>
            </w:r>
          </w:p>
        </w:tc>
        <w:tc>
          <w:tcPr>
            <w:tcW w:w="8215" w:type="dxa"/>
          </w:tcPr>
          <w:p w14:paraId="2AE8EF4A" w14:textId="7398DE78"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Komisijas 2020. gada 7. oktobra Īstenošanas lēmuma (ES) 2020/1426 par radiofrekvenču spektra saskaņotu izmantošanu 5875–5935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frekvenču joslā ar drošību saistītiem </w:t>
            </w:r>
            <w:proofErr w:type="spellStart"/>
            <w:r w:rsidRPr="006E14AC">
              <w:rPr>
                <w:rFonts w:ascii="Times New Roman" w:eastAsia="Times New Roman" w:hAnsi="Times New Roman" w:cs="Times New Roman"/>
                <w:sz w:val="24"/>
                <w:szCs w:val="24"/>
                <w:lang w:eastAsia="lv-LV"/>
              </w:rPr>
              <w:t>intelektisko</w:t>
            </w:r>
            <w:proofErr w:type="spellEnd"/>
            <w:r w:rsidRPr="006E14AC">
              <w:rPr>
                <w:rFonts w:ascii="Times New Roman" w:eastAsia="Times New Roman" w:hAnsi="Times New Roman" w:cs="Times New Roman"/>
                <w:sz w:val="24"/>
                <w:szCs w:val="24"/>
                <w:lang w:eastAsia="lv-LV"/>
              </w:rPr>
              <w:t xml:space="preserve"> transporta sistēmu (ITS) lietojumiem un Lēmuma 2008/671/EK atcelšanu</w:t>
            </w:r>
          </w:p>
        </w:tc>
      </w:tr>
      <w:tr w:rsidR="004A7A72" w:rsidRPr="006E14AC" w14:paraId="548147BF" w14:textId="77777777" w:rsidTr="00D42116">
        <w:tc>
          <w:tcPr>
            <w:tcW w:w="846" w:type="dxa"/>
          </w:tcPr>
          <w:p w14:paraId="791F5567" w14:textId="49C28FD9"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1.39.</w:t>
            </w:r>
          </w:p>
        </w:tc>
        <w:tc>
          <w:tcPr>
            <w:tcW w:w="8215" w:type="dxa"/>
          </w:tcPr>
          <w:p w14:paraId="421C58A3" w14:textId="192C44E8"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2021. gada 17. jūnija Īstenošanas lēmums (ES) 2021/1067 par radiofrekvenču spektra saskaņotu lietošanu 5945–6425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radiofrekvenču joslā bezvadu piekļuves sistēmu, ieskaitot lokālos tīklus (WAS/RLAN), darbības nodrošināšanai</w:t>
            </w:r>
          </w:p>
        </w:tc>
      </w:tr>
      <w:tr w:rsidR="004A7A72" w:rsidRPr="006E14AC" w14:paraId="1514BE79" w14:textId="77777777" w:rsidTr="00D42116">
        <w:tc>
          <w:tcPr>
            <w:tcW w:w="846" w:type="dxa"/>
          </w:tcPr>
          <w:p w14:paraId="7EAA3EC1" w14:textId="48154DC6"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1.40.</w:t>
            </w:r>
          </w:p>
        </w:tc>
        <w:tc>
          <w:tcPr>
            <w:tcW w:w="8215" w:type="dxa"/>
          </w:tcPr>
          <w:p w14:paraId="6436602E" w14:textId="6C95C561"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Komisijas 2021. gada 28. septembra Īstenošanas lēmums (ES) 2021/1730 par 874,4–880,0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un 919,4–925,0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sapāroto frekvenču joslu un 1900–1910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nesapārotās frekvenču joslas saskaņotu izmantošanu dzelzceļa mobilajiem sakariem</w:t>
            </w:r>
          </w:p>
        </w:tc>
      </w:tr>
      <w:tr w:rsidR="004A7A72" w:rsidRPr="006E14AC" w14:paraId="22A6F2BC" w14:textId="77777777" w:rsidTr="00D42116">
        <w:tc>
          <w:tcPr>
            <w:tcW w:w="846" w:type="dxa"/>
          </w:tcPr>
          <w:p w14:paraId="57DBE1CD" w14:textId="74558BE1"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1.41.</w:t>
            </w:r>
          </w:p>
        </w:tc>
        <w:tc>
          <w:tcPr>
            <w:tcW w:w="8215" w:type="dxa"/>
          </w:tcPr>
          <w:p w14:paraId="29725801" w14:textId="48C20E3A"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2022. gada 7. februāra Īstenošanas lēmums (ES) 2022/172 par grozījumiem Īstenošanas lēmumā (ES) 2018/1538 par radiofrekvenču spektra harmonizēšanu izmantošanai maza darbības attāluma ierīcēm 874–876 un 915–921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frekvenču joslās</w:t>
            </w:r>
          </w:p>
        </w:tc>
      </w:tr>
      <w:tr w:rsidR="004A7A72" w:rsidRPr="006E14AC" w14:paraId="0771D5D1" w14:textId="77777777" w:rsidTr="00D42116">
        <w:tc>
          <w:tcPr>
            <w:tcW w:w="846" w:type="dxa"/>
          </w:tcPr>
          <w:p w14:paraId="79BADE00" w14:textId="10E4269C"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1.42.</w:t>
            </w:r>
          </w:p>
        </w:tc>
        <w:tc>
          <w:tcPr>
            <w:tcW w:w="8215" w:type="dxa"/>
          </w:tcPr>
          <w:p w14:paraId="10E39FB0" w14:textId="40EA62F0"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Komisijas 2022. gada 7. februāra Īstenošanas lēmums (ES) 2022/173 par 900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un 1800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frekvenču joslu harmonizāciju zemes sistēmām, kuras Savienībā spēj nodrošināt elektronisko sakaru pakalpojumus, un Lēmuma 2009/766/EK atcelšanu</w:t>
            </w:r>
          </w:p>
        </w:tc>
      </w:tr>
      <w:tr w:rsidR="004A7A72" w:rsidRPr="006E14AC" w14:paraId="01E4BA0D" w14:textId="77777777" w:rsidTr="00D42116">
        <w:tc>
          <w:tcPr>
            <w:tcW w:w="846" w:type="dxa"/>
          </w:tcPr>
          <w:p w14:paraId="35247337" w14:textId="1BA9E97E"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1.43.</w:t>
            </w:r>
          </w:p>
        </w:tc>
        <w:tc>
          <w:tcPr>
            <w:tcW w:w="8215" w:type="dxa"/>
          </w:tcPr>
          <w:p w14:paraId="5264D8F9" w14:textId="7B3C1A0F"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2022. gada 8. februāra Īstenošanas lēmums (ES) 2022/179 par radiofrekvenču spektra harmonizētu lietošanu 5 GHz frekvenču joslā bezvadu piekļuves sistēmu, ieskaitot lokālos radiotīklus, darbības nodrošināšanai un Lēmuma 2005/513/EK atcelšanu</w:t>
            </w:r>
          </w:p>
        </w:tc>
      </w:tr>
      <w:tr w:rsidR="004A7A72" w:rsidRPr="006E14AC" w14:paraId="68932E5D" w14:textId="77777777" w:rsidTr="00D42116">
        <w:tc>
          <w:tcPr>
            <w:tcW w:w="846" w:type="dxa"/>
          </w:tcPr>
          <w:p w14:paraId="3EC24649" w14:textId="606F50CD"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1.44.</w:t>
            </w:r>
          </w:p>
        </w:tc>
        <w:tc>
          <w:tcPr>
            <w:tcW w:w="8215" w:type="dxa"/>
          </w:tcPr>
          <w:p w14:paraId="3E0F35E4" w14:textId="38A5B1DF"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2022. gada 8. februāra Īstenošanas lēmums (ES) 2022/180, kas groza Lēmumu 2006/771/EK, atjauninot harmonizētos tehniskos noteikumus radiofrekvenču spektra izmantošanai maza darbības attāluma ierīcēs</w:t>
            </w:r>
          </w:p>
        </w:tc>
      </w:tr>
      <w:tr w:rsidR="004A7A72" w:rsidRPr="006E14AC" w14:paraId="58333BDB" w14:textId="77777777" w:rsidTr="00D42116">
        <w:tc>
          <w:tcPr>
            <w:tcW w:w="846" w:type="dxa"/>
          </w:tcPr>
          <w:p w14:paraId="5754FCD0" w14:textId="5265E286"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1.45.</w:t>
            </w:r>
          </w:p>
        </w:tc>
        <w:tc>
          <w:tcPr>
            <w:tcW w:w="8215" w:type="dxa"/>
          </w:tcPr>
          <w:p w14:paraId="72739BF7" w14:textId="55087DFE" w:rsidR="004A7A72" w:rsidRPr="006E14AC" w:rsidRDefault="004A7A72" w:rsidP="004A7A72">
            <w:pPr>
              <w:spacing w:after="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rPr>
              <w:t xml:space="preserve">Komisijas 2022. gada 23. novembra Īstenošanas lēmums (ES) 2022/2307, ar ko saskaņā ar pielikumā izklāstītajiem tehniskajiem nosacījumiem Īstenošanas lēmumā (ES) 2022/179 groza to, kā paredz un dara pieejamas 5150–5250 </w:t>
            </w:r>
            <w:proofErr w:type="spellStart"/>
            <w:r w:rsidRPr="006E14AC">
              <w:rPr>
                <w:rFonts w:ascii="Times New Roman" w:eastAsia="Times New Roman" w:hAnsi="Times New Roman" w:cs="Times New Roman"/>
                <w:sz w:val="24"/>
                <w:szCs w:val="24"/>
              </w:rPr>
              <w:t>MHz</w:t>
            </w:r>
            <w:proofErr w:type="spellEnd"/>
            <w:r w:rsidRPr="006E14AC">
              <w:rPr>
                <w:rFonts w:ascii="Times New Roman" w:eastAsia="Times New Roman" w:hAnsi="Times New Roman" w:cs="Times New Roman"/>
                <w:sz w:val="24"/>
                <w:szCs w:val="24"/>
              </w:rPr>
              <w:t xml:space="preserve">, 5250–5350 </w:t>
            </w:r>
            <w:proofErr w:type="spellStart"/>
            <w:r w:rsidRPr="006E14AC">
              <w:rPr>
                <w:rFonts w:ascii="Times New Roman" w:eastAsia="Times New Roman" w:hAnsi="Times New Roman" w:cs="Times New Roman"/>
                <w:sz w:val="24"/>
                <w:szCs w:val="24"/>
              </w:rPr>
              <w:t>MHz</w:t>
            </w:r>
            <w:proofErr w:type="spellEnd"/>
            <w:r w:rsidRPr="006E14AC">
              <w:rPr>
                <w:rFonts w:ascii="Times New Roman" w:eastAsia="Times New Roman" w:hAnsi="Times New Roman" w:cs="Times New Roman"/>
                <w:sz w:val="24"/>
                <w:szCs w:val="24"/>
              </w:rPr>
              <w:t xml:space="preserve"> un 5470–5725 </w:t>
            </w:r>
            <w:proofErr w:type="spellStart"/>
            <w:r w:rsidRPr="006E14AC">
              <w:rPr>
                <w:rFonts w:ascii="Times New Roman" w:eastAsia="Times New Roman" w:hAnsi="Times New Roman" w:cs="Times New Roman"/>
                <w:sz w:val="24"/>
                <w:szCs w:val="24"/>
              </w:rPr>
              <w:t>MHz</w:t>
            </w:r>
            <w:proofErr w:type="spellEnd"/>
            <w:r w:rsidRPr="006E14AC">
              <w:rPr>
                <w:rFonts w:ascii="Times New Roman" w:eastAsia="Times New Roman" w:hAnsi="Times New Roman" w:cs="Times New Roman"/>
                <w:sz w:val="24"/>
                <w:szCs w:val="24"/>
              </w:rPr>
              <w:t xml:space="preserve"> frekvenču joslas</w:t>
            </w:r>
          </w:p>
        </w:tc>
      </w:tr>
      <w:tr w:rsidR="004A7A72" w:rsidRPr="006E14AC" w14:paraId="2ED19874" w14:textId="77777777" w:rsidTr="00D42116">
        <w:tc>
          <w:tcPr>
            <w:tcW w:w="846" w:type="dxa"/>
          </w:tcPr>
          <w:p w14:paraId="2D6B7DB5" w14:textId="5A99B595"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1.46.</w:t>
            </w:r>
          </w:p>
        </w:tc>
        <w:tc>
          <w:tcPr>
            <w:tcW w:w="8215" w:type="dxa"/>
          </w:tcPr>
          <w:p w14:paraId="0FC25F60" w14:textId="554D8215"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rPr>
              <w:t>Komisijas 2022. gada 23. novembra Īstenošanas lēmums (ES) 2022/2324, ar ko groza Lēmumu 2008/294/EK, lai tajā iekļautu piekļuves papildu tehnoloģijas un pasākumus mobilo sakaru pakalpojumu gaisa kuģos (MCA pakalpojumu) darbībai Savienībā</w:t>
            </w:r>
          </w:p>
        </w:tc>
      </w:tr>
      <w:tr w:rsidR="004A7A72" w:rsidRPr="006E14AC" w14:paraId="2E871D7E" w14:textId="463AE0CA" w:rsidTr="00D42116">
        <w:tc>
          <w:tcPr>
            <w:tcW w:w="846" w:type="dxa"/>
          </w:tcPr>
          <w:p w14:paraId="6DA76DEC" w14:textId="2786A37D" w:rsidR="004A7A72" w:rsidRPr="006E14AC" w:rsidRDefault="004A7A72" w:rsidP="004A7A72">
            <w:pPr>
              <w:spacing w:after="12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1.47.</w:t>
            </w:r>
          </w:p>
        </w:tc>
        <w:tc>
          <w:tcPr>
            <w:tcW w:w="8215" w:type="dxa"/>
          </w:tcPr>
          <w:p w14:paraId="5BCE87D6" w14:textId="015E409B" w:rsidR="004A7A72" w:rsidRPr="006E14AC" w:rsidRDefault="004A7A72" w:rsidP="004A7A72">
            <w:pPr>
              <w:spacing w:after="160" w:line="259" w:lineRule="auto"/>
            </w:pPr>
            <w:r w:rsidRPr="002D00B6">
              <w:rPr>
                <w:rFonts w:ascii="Times New Roman" w:eastAsia="Times New Roman" w:hAnsi="Times New Roman" w:cs="Times New Roman"/>
                <w:sz w:val="24"/>
                <w:szCs w:val="24"/>
              </w:rPr>
              <w:t xml:space="preserve">Komisijas </w:t>
            </w:r>
            <w:r>
              <w:rPr>
                <w:rFonts w:ascii="Times New Roman" w:eastAsia="Times New Roman" w:hAnsi="Times New Roman" w:cs="Times New Roman"/>
                <w:sz w:val="24"/>
                <w:szCs w:val="24"/>
              </w:rPr>
              <w:t>2024. gada 22. janvāra</w:t>
            </w:r>
            <w:r w:rsidRPr="002D00B6">
              <w:rPr>
                <w:rFonts w:ascii="Times New Roman" w:eastAsia="Times New Roman" w:hAnsi="Times New Roman" w:cs="Times New Roman"/>
                <w:sz w:val="24"/>
                <w:szCs w:val="24"/>
              </w:rPr>
              <w:t xml:space="preserve"> Īstenošanas lēmums </w:t>
            </w:r>
            <w:r w:rsidRPr="00555F17">
              <w:rPr>
                <w:rFonts w:ascii="Times New Roman" w:eastAsia="Times New Roman" w:hAnsi="Times New Roman" w:cs="Times New Roman"/>
                <w:sz w:val="24"/>
                <w:szCs w:val="24"/>
              </w:rPr>
              <w:t>(ES) 2024/340</w:t>
            </w:r>
            <w:r>
              <w:rPr>
                <w:rFonts w:ascii="Times New Roman" w:eastAsia="Times New Roman" w:hAnsi="Times New Roman" w:cs="Times New Roman"/>
                <w:sz w:val="24"/>
                <w:szCs w:val="24"/>
              </w:rPr>
              <w:t xml:space="preserve"> </w:t>
            </w:r>
            <w:r w:rsidRPr="00555F17">
              <w:rPr>
                <w:rFonts w:ascii="Times New Roman" w:eastAsia="Times New Roman" w:hAnsi="Times New Roman" w:cs="Times New Roman"/>
                <w:sz w:val="24"/>
                <w:szCs w:val="24"/>
              </w:rPr>
              <w:t>par harmonizētiem nosacījumiem radiofrekvenču spektra izmantošanai mobilo sakaru pakalpojumiem kuģos Savienībā un Lēmuma 2010/166/ES atcelšanu</w:t>
            </w:r>
          </w:p>
        </w:tc>
      </w:tr>
    </w:tbl>
    <w:p w14:paraId="05EFDB25" w14:textId="77777777" w:rsidR="00CB699B" w:rsidRPr="006E14AC" w:rsidRDefault="008E0D70" w:rsidP="00965AEA">
      <w:pPr>
        <w:spacing w:before="100" w:beforeAutospacing="1" w:after="100" w:afterAutospacing="1" w:line="240" w:lineRule="auto"/>
        <w:rPr>
          <w:rFonts w:ascii="Times New Roman" w:hAnsi="Times New Roman" w:cs="Times New Roman"/>
          <w:b/>
          <w:bCs/>
          <w:sz w:val="24"/>
          <w:szCs w:val="24"/>
        </w:rPr>
      </w:pPr>
      <w:r w:rsidRPr="006E14AC">
        <w:rPr>
          <w:rFonts w:ascii="Times New Roman" w:eastAsia="Times New Roman" w:hAnsi="Times New Roman" w:cs="Times New Roman"/>
          <w:b/>
          <w:bCs/>
          <w:sz w:val="24"/>
          <w:szCs w:val="24"/>
          <w:lang w:eastAsia="lv-LV"/>
        </w:rPr>
        <w:t xml:space="preserve">2. </w:t>
      </w:r>
      <w:r w:rsidR="00961D9C" w:rsidRPr="006E14AC">
        <w:rPr>
          <w:rFonts w:ascii="Times New Roman" w:eastAsia="Times New Roman" w:hAnsi="Times New Roman" w:cs="Times New Roman"/>
          <w:b/>
          <w:bCs/>
          <w:sz w:val="24"/>
          <w:szCs w:val="24"/>
          <w:lang w:eastAsia="lv-LV"/>
        </w:rPr>
        <w:t xml:space="preserve">CEPT </w:t>
      </w:r>
      <w:r w:rsidR="00294824" w:rsidRPr="006E14AC">
        <w:rPr>
          <w:rFonts w:ascii="Times New Roman" w:eastAsia="Times New Roman" w:hAnsi="Times New Roman" w:cs="Times New Roman"/>
          <w:b/>
          <w:bCs/>
          <w:sz w:val="24"/>
          <w:szCs w:val="24"/>
          <w:lang w:eastAsia="lv-LV"/>
        </w:rPr>
        <w:t>ECC (ERC) lēmum</w:t>
      </w:r>
      <w:r w:rsidR="009F0668" w:rsidRPr="006E14AC">
        <w:rPr>
          <w:rFonts w:ascii="Times New Roman" w:eastAsia="Times New Roman" w:hAnsi="Times New Roman" w:cs="Times New Roman"/>
          <w:b/>
          <w:bCs/>
          <w:sz w:val="24"/>
          <w:szCs w:val="24"/>
          <w:lang w:eastAsia="lv-LV"/>
        </w:rPr>
        <w:t>i</w:t>
      </w:r>
    </w:p>
    <w:tbl>
      <w:tblPr>
        <w:tblStyle w:val="TableGrid"/>
        <w:tblW w:w="0" w:type="auto"/>
        <w:tblLook w:val="04A0" w:firstRow="1" w:lastRow="0" w:firstColumn="1" w:lastColumn="0" w:noHBand="0" w:noVBand="1"/>
      </w:tblPr>
      <w:tblGrid>
        <w:gridCol w:w="841"/>
        <w:gridCol w:w="8220"/>
      </w:tblGrid>
      <w:tr w:rsidR="006E14AC" w:rsidRPr="006E14AC" w14:paraId="0109F651" w14:textId="77777777" w:rsidTr="00965AEA">
        <w:tc>
          <w:tcPr>
            <w:tcW w:w="841" w:type="dxa"/>
            <w:vAlign w:val="center"/>
          </w:tcPr>
          <w:p w14:paraId="5DB6C107" w14:textId="77777777" w:rsidR="00CB699B" w:rsidRPr="006E14AC" w:rsidRDefault="001F5866" w:rsidP="00965AEA">
            <w:pPr>
              <w:spacing w:after="120" w:line="240" w:lineRule="auto"/>
              <w:jc w:val="center"/>
              <w:rPr>
                <w:rFonts w:ascii="Times New Roman" w:eastAsia="Times New Roman" w:hAnsi="Times New Roman" w:cs="Times New Roman"/>
                <w:sz w:val="24"/>
                <w:szCs w:val="24"/>
                <w:lang w:eastAsia="lv-LV"/>
              </w:rPr>
            </w:pPr>
            <w:r w:rsidRPr="006E14AC">
              <w:rPr>
                <w:rFonts w:ascii="Times New Roman" w:hAnsi="Times New Roman" w:cs="Times New Roman"/>
                <w:sz w:val="24"/>
                <w:szCs w:val="24"/>
              </w:rPr>
              <w:t>Nr. </w:t>
            </w:r>
            <w:r w:rsidRPr="006E14AC">
              <w:rPr>
                <w:rFonts w:ascii="Times New Roman" w:hAnsi="Times New Roman" w:cs="Times New Roman"/>
                <w:sz w:val="24"/>
                <w:szCs w:val="24"/>
              </w:rPr>
              <w:br/>
              <w:t>p. k.</w:t>
            </w:r>
          </w:p>
        </w:tc>
        <w:tc>
          <w:tcPr>
            <w:tcW w:w="8220" w:type="dxa"/>
            <w:vAlign w:val="center"/>
          </w:tcPr>
          <w:p w14:paraId="02689432" w14:textId="77777777" w:rsidR="00CB699B" w:rsidRPr="006E14AC" w:rsidRDefault="006568C5" w:rsidP="00582F1F">
            <w:pPr>
              <w:spacing w:after="120" w:line="315" w:lineRule="atLeast"/>
              <w:jc w:val="center"/>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Nosaukums</w:t>
            </w:r>
          </w:p>
        </w:tc>
      </w:tr>
      <w:tr w:rsidR="006E14AC" w:rsidRPr="006E14AC" w14:paraId="6A943874" w14:textId="77777777" w:rsidTr="00965AEA">
        <w:tc>
          <w:tcPr>
            <w:tcW w:w="841" w:type="dxa"/>
          </w:tcPr>
          <w:p w14:paraId="763B4516"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2.1.</w:t>
            </w:r>
          </w:p>
        </w:tc>
        <w:tc>
          <w:tcPr>
            <w:tcW w:w="8220" w:type="dxa"/>
          </w:tcPr>
          <w:p w14:paraId="5AD64EA7" w14:textId="79BE1126"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ERC/DEC/(94)01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ERC 1994</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24</w:t>
            </w:r>
            <w:r w:rsidR="004A6E54" w:rsidRPr="006E14AC">
              <w:rPr>
                <w:rFonts w:ascii="Times New Roman" w:eastAsia="Times New Roman" w:hAnsi="Times New Roman" w:cs="Times New Roman"/>
                <w:sz w:val="24"/>
                <w:szCs w:val="24"/>
                <w:lang w:eastAsia="lv-LV"/>
              </w:rPr>
              <w:t xml:space="preserve">. oktobra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 xml:space="preserve">par frekvenču joslām, kuras nosakāmas saskaņotai </w:t>
            </w:r>
            <w:proofErr w:type="spellStart"/>
            <w:r w:rsidRPr="006E14AC">
              <w:rPr>
                <w:rFonts w:ascii="Times New Roman" w:eastAsia="Times New Roman" w:hAnsi="Times New Roman" w:cs="Times New Roman"/>
                <w:sz w:val="24"/>
                <w:szCs w:val="24"/>
                <w:lang w:eastAsia="lv-LV"/>
              </w:rPr>
              <w:t>Viseiropas</w:t>
            </w:r>
            <w:proofErr w:type="spellEnd"/>
            <w:r w:rsidRPr="006E14AC">
              <w:rPr>
                <w:rFonts w:ascii="Times New Roman" w:eastAsia="Times New Roman" w:hAnsi="Times New Roman" w:cs="Times New Roman"/>
                <w:sz w:val="24"/>
                <w:szCs w:val="24"/>
                <w:lang w:eastAsia="lv-LV"/>
              </w:rPr>
              <w:t xml:space="preserve"> ciparu sakaru sistēmas GSM ieviešanai </w:t>
            </w:r>
          </w:p>
        </w:tc>
      </w:tr>
      <w:tr w:rsidR="006E14AC" w:rsidRPr="006E14AC" w14:paraId="108E016A" w14:textId="77777777" w:rsidTr="00965AEA">
        <w:tc>
          <w:tcPr>
            <w:tcW w:w="841" w:type="dxa"/>
          </w:tcPr>
          <w:p w14:paraId="5346A789"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lastRenderedPageBreak/>
              <w:t>2.2.</w:t>
            </w:r>
          </w:p>
        </w:tc>
        <w:tc>
          <w:tcPr>
            <w:tcW w:w="8220" w:type="dxa"/>
          </w:tcPr>
          <w:p w14:paraId="5896141A" w14:textId="5C0FCC6D"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ERC/DEC/(94)03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ERC 1994</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24</w:t>
            </w:r>
            <w:r w:rsidR="004A6E54" w:rsidRPr="006E14AC">
              <w:rPr>
                <w:rFonts w:ascii="Times New Roman" w:eastAsia="Times New Roman" w:hAnsi="Times New Roman" w:cs="Times New Roman"/>
                <w:sz w:val="24"/>
                <w:szCs w:val="24"/>
                <w:lang w:eastAsia="lv-LV"/>
              </w:rPr>
              <w:t xml:space="preserve">. oktobra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par radiofrekvenču joslām, kuras nosakāmas saskaņotai Eiropas ciparu bezauklas telesakaru sistēmas (DECT) ieviešanai</w:t>
            </w:r>
          </w:p>
        </w:tc>
      </w:tr>
      <w:tr w:rsidR="006E14AC" w:rsidRPr="006E14AC" w14:paraId="6A3B7EF4" w14:textId="77777777" w:rsidTr="00965AEA">
        <w:tc>
          <w:tcPr>
            <w:tcW w:w="841" w:type="dxa"/>
          </w:tcPr>
          <w:p w14:paraId="32D8FC6D"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2.3.</w:t>
            </w:r>
          </w:p>
        </w:tc>
        <w:tc>
          <w:tcPr>
            <w:tcW w:w="8220" w:type="dxa"/>
          </w:tcPr>
          <w:p w14:paraId="4958AEEC" w14:textId="018B1C69"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ERC/DEC/(95)03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ERC 1995</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w:t>
            </w:r>
            <w:r w:rsidR="004A6E54" w:rsidRPr="006E14AC">
              <w:rPr>
                <w:rFonts w:ascii="Times New Roman" w:eastAsia="Times New Roman" w:hAnsi="Times New Roman" w:cs="Times New Roman"/>
                <w:sz w:val="24"/>
                <w:szCs w:val="24"/>
                <w:lang w:eastAsia="lv-LV"/>
              </w:rPr>
              <w:t xml:space="preserve">. decembra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par radiofrekvenču joslām, kuras nosakāmas saskaņotai DCS 1800 ieviešanai (ciparu šūnu sakaru sistēma 1800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joslā)</w:t>
            </w:r>
          </w:p>
        </w:tc>
      </w:tr>
      <w:tr w:rsidR="006E14AC" w:rsidRPr="006E14AC" w14:paraId="0842E684" w14:textId="77777777" w:rsidTr="00965AEA">
        <w:tc>
          <w:tcPr>
            <w:tcW w:w="841" w:type="dxa"/>
          </w:tcPr>
          <w:p w14:paraId="07825413"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2.4.</w:t>
            </w:r>
          </w:p>
        </w:tc>
        <w:tc>
          <w:tcPr>
            <w:tcW w:w="8220" w:type="dxa"/>
          </w:tcPr>
          <w:p w14:paraId="2DE012ED" w14:textId="41D66D6A"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ERC/DEC/(97)02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ERC 1997</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21</w:t>
            </w:r>
            <w:r w:rsidR="004A6E54" w:rsidRPr="006E14AC">
              <w:rPr>
                <w:rFonts w:ascii="Times New Roman" w:eastAsia="Times New Roman" w:hAnsi="Times New Roman" w:cs="Times New Roman"/>
                <w:sz w:val="24"/>
                <w:szCs w:val="24"/>
                <w:lang w:eastAsia="lv-LV"/>
              </w:rPr>
              <w:t xml:space="preserve">. marta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par paplašinātām radiofrekvenču joslām</w:t>
            </w:r>
            <w:r w:rsidR="00354AB5" w:rsidRPr="006E14AC">
              <w:rPr>
                <w:rFonts w:ascii="Times New Roman" w:eastAsia="Times New Roman" w:hAnsi="Times New Roman" w:cs="Times New Roman"/>
                <w:sz w:val="24"/>
                <w:szCs w:val="24"/>
                <w:lang w:eastAsia="lv-LV"/>
              </w:rPr>
              <w:t xml:space="preserve"> </w:t>
            </w:r>
            <w:r w:rsidRPr="006E14AC">
              <w:rPr>
                <w:rFonts w:ascii="Times New Roman" w:eastAsia="Times New Roman" w:hAnsi="Times New Roman" w:cs="Times New Roman"/>
                <w:sz w:val="24"/>
                <w:szCs w:val="24"/>
                <w:lang w:eastAsia="lv-LV"/>
              </w:rPr>
              <w:t xml:space="preserve">lietošanai </w:t>
            </w:r>
            <w:proofErr w:type="spellStart"/>
            <w:r w:rsidRPr="006E14AC">
              <w:rPr>
                <w:rFonts w:ascii="Times New Roman" w:eastAsia="Times New Roman" w:hAnsi="Times New Roman" w:cs="Times New Roman"/>
                <w:sz w:val="24"/>
                <w:szCs w:val="24"/>
                <w:lang w:eastAsia="lv-LV"/>
              </w:rPr>
              <w:t>Viseiropas</w:t>
            </w:r>
            <w:proofErr w:type="spellEnd"/>
            <w:r w:rsidRPr="006E14AC">
              <w:rPr>
                <w:rFonts w:ascii="Times New Roman" w:eastAsia="Times New Roman" w:hAnsi="Times New Roman" w:cs="Times New Roman"/>
                <w:sz w:val="24"/>
                <w:szCs w:val="24"/>
                <w:lang w:eastAsia="lv-LV"/>
              </w:rPr>
              <w:t xml:space="preserve"> ciparu sakaru sistēmai GSM</w:t>
            </w:r>
          </w:p>
        </w:tc>
      </w:tr>
      <w:tr w:rsidR="006E14AC" w:rsidRPr="006E14AC" w14:paraId="70D54F6F" w14:textId="77777777" w:rsidTr="00965AEA">
        <w:tc>
          <w:tcPr>
            <w:tcW w:w="841" w:type="dxa"/>
          </w:tcPr>
          <w:p w14:paraId="09921652"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2.5.</w:t>
            </w:r>
          </w:p>
        </w:tc>
        <w:tc>
          <w:tcPr>
            <w:tcW w:w="8220" w:type="dxa"/>
          </w:tcPr>
          <w:p w14:paraId="446EFC64" w14:textId="60B2FBEB"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ERC/DEC/(98)22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ERC 1998. gada 23. novembra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par DECT iekārtu atbrīvošanu no individuālajām atļaujām, izņemot publiskai piekļuvei paredzētas stacionārās daļas (2021</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5</w:t>
            </w:r>
            <w:r w:rsidR="004A6E54" w:rsidRPr="006E14AC">
              <w:rPr>
                <w:rFonts w:ascii="Times New Roman" w:eastAsia="Times New Roman" w:hAnsi="Times New Roman" w:cs="Times New Roman"/>
                <w:sz w:val="24"/>
                <w:szCs w:val="24"/>
                <w:lang w:eastAsia="lv-LV"/>
              </w:rPr>
              <w:t xml:space="preserve">. novembra </w:t>
            </w:r>
            <w:r w:rsidRPr="006E14AC">
              <w:rPr>
                <w:rFonts w:ascii="Times New Roman" w:eastAsia="Times New Roman" w:hAnsi="Times New Roman" w:cs="Times New Roman"/>
                <w:sz w:val="24"/>
                <w:szCs w:val="24"/>
                <w:lang w:eastAsia="lv-LV"/>
              </w:rPr>
              <w:t>redakcijā)</w:t>
            </w:r>
          </w:p>
        </w:tc>
      </w:tr>
      <w:tr w:rsidR="006E14AC" w:rsidRPr="006E14AC" w14:paraId="73F46BBF" w14:textId="77777777" w:rsidTr="00965AEA">
        <w:tc>
          <w:tcPr>
            <w:tcW w:w="841" w:type="dxa"/>
          </w:tcPr>
          <w:p w14:paraId="42553DA0"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2.6.</w:t>
            </w:r>
          </w:p>
        </w:tc>
        <w:tc>
          <w:tcPr>
            <w:tcW w:w="8220" w:type="dxa"/>
          </w:tcPr>
          <w:p w14:paraId="5B29F6F8" w14:textId="0AA5E22B"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ERC/DEC/(99)05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ERC 1999</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10</w:t>
            </w:r>
            <w:r w:rsidR="004A6E54" w:rsidRPr="006E14AC">
              <w:rPr>
                <w:rFonts w:ascii="Times New Roman" w:eastAsia="Times New Roman" w:hAnsi="Times New Roman" w:cs="Times New Roman"/>
                <w:sz w:val="24"/>
                <w:szCs w:val="24"/>
                <w:lang w:eastAsia="lv-LV"/>
              </w:rPr>
              <w:t xml:space="preserve">. marta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par mobilo zemes staciju (S-PCS&lt;1GHz) brīvu apriti, izmantošanu un atbrīvošanu no individuālajām atļaujām</w:t>
            </w:r>
          </w:p>
        </w:tc>
      </w:tr>
      <w:tr w:rsidR="006E14AC" w:rsidRPr="006E14AC" w14:paraId="2282C7B5" w14:textId="77777777" w:rsidTr="00965AEA">
        <w:tc>
          <w:tcPr>
            <w:tcW w:w="841" w:type="dxa"/>
          </w:tcPr>
          <w:p w14:paraId="02D66E8F" w14:textId="77777777" w:rsidR="00CB699B" w:rsidRPr="006E14AC" w:rsidRDefault="00076A2D">
            <w:pPr>
              <w:spacing w:after="120" w:line="240" w:lineRule="auto"/>
              <w:rPr>
                <w:rFonts w:ascii="Times New Roman" w:eastAsia="Times New Roman" w:hAnsi="Times New Roman" w:cs="Times New Roman"/>
                <w:sz w:val="24"/>
                <w:szCs w:val="24"/>
              </w:rPr>
            </w:pPr>
            <w:r w:rsidRPr="006E14AC">
              <w:rPr>
                <w:rFonts w:ascii="Times New Roman" w:eastAsia="Times New Roman" w:hAnsi="Times New Roman" w:cs="Times New Roman"/>
                <w:sz w:val="24"/>
                <w:szCs w:val="24"/>
                <w:lang w:eastAsia="lv-LV"/>
              </w:rPr>
              <w:t>2.7.</w:t>
            </w:r>
          </w:p>
        </w:tc>
        <w:tc>
          <w:tcPr>
            <w:tcW w:w="8220" w:type="dxa"/>
          </w:tcPr>
          <w:p w14:paraId="775C1446" w14:textId="2ACB7191" w:rsidR="00CF6AC8" w:rsidRPr="006E14AC" w:rsidRDefault="00076A2D" w:rsidP="00A50C08">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ERC/DEC/(99)06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ERC 1999</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10</w:t>
            </w:r>
            <w:r w:rsidR="004A6E54" w:rsidRPr="006E14AC">
              <w:rPr>
                <w:rFonts w:ascii="Times New Roman" w:eastAsia="Times New Roman" w:hAnsi="Times New Roman" w:cs="Times New Roman"/>
                <w:sz w:val="24"/>
                <w:szCs w:val="24"/>
                <w:lang w:eastAsia="lv-LV"/>
              </w:rPr>
              <w:t xml:space="preserve">. marta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par satelītu personālo sakaru sistēmu, kuras darbojas joslās zem 1 GHz (S-PCS&lt;1GHz), saskaņotu ieviešanu (202</w:t>
            </w:r>
            <w:r w:rsidR="005F55AC">
              <w:rPr>
                <w:rFonts w:ascii="Times New Roman" w:eastAsia="Times New Roman" w:hAnsi="Times New Roman" w:cs="Times New Roman"/>
                <w:sz w:val="24"/>
                <w:szCs w:val="24"/>
                <w:lang w:eastAsia="lv-LV"/>
              </w:rPr>
              <w:t>4</w:t>
            </w:r>
            <w:r w:rsidR="004A6E54" w:rsidRPr="006E14AC">
              <w:rPr>
                <w:rFonts w:ascii="Times New Roman" w:eastAsia="Times New Roman" w:hAnsi="Times New Roman" w:cs="Times New Roman"/>
                <w:sz w:val="24"/>
                <w:szCs w:val="24"/>
                <w:lang w:eastAsia="lv-LV"/>
              </w:rPr>
              <w:t xml:space="preserve">. gada </w:t>
            </w:r>
            <w:r w:rsidR="005F55AC">
              <w:rPr>
                <w:rFonts w:ascii="Times New Roman" w:eastAsia="Times New Roman" w:hAnsi="Times New Roman" w:cs="Times New Roman"/>
                <w:sz w:val="24"/>
                <w:szCs w:val="24"/>
                <w:lang w:eastAsia="lv-LV"/>
              </w:rPr>
              <w:t>8</w:t>
            </w:r>
            <w:r w:rsidR="004A6E54" w:rsidRPr="006E14AC">
              <w:rPr>
                <w:rFonts w:ascii="Times New Roman" w:eastAsia="Times New Roman" w:hAnsi="Times New Roman" w:cs="Times New Roman"/>
                <w:sz w:val="24"/>
                <w:szCs w:val="24"/>
                <w:lang w:eastAsia="lv-LV"/>
              </w:rPr>
              <w:t xml:space="preserve">. marta </w:t>
            </w:r>
            <w:r w:rsidRPr="006E14AC">
              <w:rPr>
                <w:rFonts w:ascii="Times New Roman" w:eastAsia="Times New Roman" w:hAnsi="Times New Roman" w:cs="Times New Roman"/>
                <w:sz w:val="24"/>
                <w:szCs w:val="24"/>
                <w:lang w:eastAsia="lv-LV"/>
              </w:rPr>
              <w:t>redakcijā)</w:t>
            </w:r>
          </w:p>
        </w:tc>
      </w:tr>
      <w:tr w:rsidR="0090548A" w:rsidRPr="006E14AC" w14:paraId="12645A84" w14:textId="77777777" w:rsidTr="00965AEA">
        <w:tc>
          <w:tcPr>
            <w:tcW w:w="841" w:type="dxa"/>
          </w:tcPr>
          <w:p w14:paraId="0E342221"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2.8.</w:t>
            </w:r>
          </w:p>
        </w:tc>
        <w:tc>
          <w:tcPr>
            <w:tcW w:w="8220" w:type="dxa"/>
          </w:tcPr>
          <w:p w14:paraId="010E0862" w14:textId="52DCFEFC" w:rsidR="0090548A" w:rsidRPr="006E14AC" w:rsidRDefault="000D41E1"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(Svītrots ar MK </w:t>
            </w:r>
            <w:r w:rsidRPr="006E14AC">
              <w:rPr>
                <w:rFonts w:ascii="Times New Roman" w:eastAsia="Times New Roman" w:hAnsi="Times New Roman"/>
                <w:sz w:val="24"/>
                <w:szCs w:val="24"/>
                <w:lang w:eastAsia="en-GB"/>
              </w:rPr>
              <w:t>202</w:t>
            </w:r>
            <w:r>
              <w:rPr>
                <w:rFonts w:ascii="Times New Roman" w:eastAsia="Times New Roman" w:hAnsi="Times New Roman"/>
                <w:sz w:val="24"/>
                <w:szCs w:val="24"/>
                <w:lang w:eastAsia="en-GB"/>
              </w:rPr>
              <w:t>4</w:t>
            </w:r>
            <w:r w:rsidRPr="006E14AC">
              <w:rPr>
                <w:rFonts w:ascii="Times New Roman" w:eastAsia="Times New Roman" w:hAnsi="Times New Roman"/>
                <w:sz w:val="24"/>
                <w:szCs w:val="24"/>
                <w:lang w:eastAsia="en-GB"/>
              </w:rPr>
              <w:t xml:space="preserve">. </w:t>
            </w:r>
            <w:proofErr w:type="spellStart"/>
            <w:r w:rsidRPr="006E14AC">
              <w:rPr>
                <w:rFonts w:ascii="Times New Roman" w:eastAsia="Times New Roman" w:hAnsi="Times New Roman"/>
                <w:sz w:val="24"/>
                <w:szCs w:val="24"/>
                <w:lang w:eastAsia="en-GB"/>
              </w:rPr>
              <w:t>gada</w:t>
            </w:r>
            <w:r>
              <w:rPr>
                <w:rFonts w:ascii="Times New Roman" w:eastAsia="Times New Roman" w:hAnsi="Times New Roman"/>
                <w:sz w:val="24"/>
                <w:szCs w:val="24"/>
                <w:lang w:eastAsia="en-GB"/>
              </w:rPr>
              <w:t>__noteikumiem</w:t>
            </w:r>
            <w:proofErr w:type="spellEnd"/>
            <w:r>
              <w:rPr>
                <w:rFonts w:ascii="Times New Roman" w:eastAsia="Times New Roman" w:hAnsi="Times New Roman"/>
                <w:sz w:val="24"/>
                <w:szCs w:val="24"/>
                <w:lang w:eastAsia="en-GB"/>
              </w:rPr>
              <w:t xml:space="preserve"> Nr.__)</w:t>
            </w:r>
          </w:p>
        </w:tc>
      </w:tr>
      <w:tr w:rsidR="0090548A" w:rsidRPr="006E14AC" w14:paraId="076818EA" w14:textId="77777777" w:rsidTr="00965AEA">
        <w:tc>
          <w:tcPr>
            <w:tcW w:w="841" w:type="dxa"/>
          </w:tcPr>
          <w:p w14:paraId="2EF1354D"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2.9.</w:t>
            </w:r>
          </w:p>
        </w:tc>
        <w:tc>
          <w:tcPr>
            <w:tcW w:w="8220" w:type="dxa"/>
          </w:tcPr>
          <w:p w14:paraId="7696848D" w14:textId="50141906"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ERC/DEC/(00)02 – ERC 2000. gada 27. marta Lēmums par 37,5–39,5 GHz radiofrekvenču joslas izmantošanu fiksētajā dienestā un Zemes stacijām fiksētajā satelītu dienestā (izplatījums–Zeme)</w:t>
            </w:r>
            <w:r>
              <w:rPr>
                <w:rFonts w:ascii="Times New Roman" w:eastAsia="Times New Roman" w:hAnsi="Times New Roman" w:cs="Times New Roman"/>
                <w:sz w:val="24"/>
                <w:szCs w:val="24"/>
                <w:lang w:eastAsia="lv-LV"/>
              </w:rPr>
              <w:t xml:space="preserve"> un 39,5 – 40,5 GHz </w:t>
            </w:r>
            <w:r w:rsidRPr="006E14AC">
              <w:rPr>
                <w:rFonts w:ascii="Times New Roman" w:eastAsia="Times New Roman" w:hAnsi="Times New Roman" w:cs="Times New Roman"/>
                <w:sz w:val="24"/>
                <w:szCs w:val="24"/>
                <w:lang w:eastAsia="lv-LV"/>
              </w:rPr>
              <w:t>radiofrekvenču joslas izmantošanu Zemes stacijām fiksētajā satelītu dienestā (izplatījums–Zeme</w:t>
            </w:r>
            <w:r>
              <w:rPr>
                <w:rFonts w:ascii="Times New Roman" w:eastAsia="Times New Roman" w:hAnsi="Times New Roman" w:cs="Times New Roman"/>
                <w:sz w:val="24"/>
                <w:szCs w:val="24"/>
                <w:lang w:eastAsia="lv-LV"/>
              </w:rPr>
              <w:t xml:space="preserve">) un mobilajā satelītu dienestā </w:t>
            </w:r>
            <w:r w:rsidRPr="006E14AC">
              <w:rPr>
                <w:rFonts w:ascii="Times New Roman" w:eastAsia="Times New Roman" w:hAnsi="Times New Roman" w:cs="Times New Roman"/>
                <w:sz w:val="24"/>
                <w:szCs w:val="24"/>
                <w:lang w:eastAsia="lv-LV"/>
              </w:rPr>
              <w:t>(izplatījums–Zeme</w:t>
            </w:r>
            <w:r>
              <w:rPr>
                <w:rFonts w:ascii="Times New Roman" w:eastAsia="Times New Roman" w:hAnsi="Times New Roman" w:cs="Times New Roman"/>
                <w:sz w:val="24"/>
                <w:szCs w:val="24"/>
                <w:lang w:eastAsia="lv-LV"/>
              </w:rPr>
              <w:t xml:space="preserve">) </w:t>
            </w:r>
            <w:r>
              <w:rPr>
                <w:color w:val="0078D4"/>
                <w:bdr w:val="none" w:sz="0" w:space="0" w:color="auto" w:frame="1"/>
              </w:rPr>
              <w:t xml:space="preserve"> (</w:t>
            </w:r>
            <w:r w:rsidRPr="00555F17">
              <w:rPr>
                <w:rFonts w:ascii="Times New Roman" w:eastAsia="Times New Roman" w:hAnsi="Times New Roman" w:cs="Times New Roman"/>
                <w:sz w:val="24"/>
                <w:szCs w:val="24"/>
                <w:lang w:eastAsia="lv-LV"/>
              </w:rPr>
              <w:t>2022. g. 4. marta redakcijā)</w:t>
            </w:r>
          </w:p>
        </w:tc>
      </w:tr>
      <w:tr w:rsidR="0090548A" w:rsidRPr="006E14AC" w14:paraId="2149951B" w14:textId="77777777" w:rsidTr="00965AEA">
        <w:tc>
          <w:tcPr>
            <w:tcW w:w="841" w:type="dxa"/>
          </w:tcPr>
          <w:p w14:paraId="3F90724B"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2.10.</w:t>
            </w:r>
          </w:p>
        </w:tc>
        <w:tc>
          <w:tcPr>
            <w:tcW w:w="8220" w:type="dxa"/>
          </w:tcPr>
          <w:p w14:paraId="237D844F" w14:textId="0202351C"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ERC/DEC/(00)07 – ERC 2000. gada 19. oktobra Lēmums par 17,7–19,7 GHz radiofrekvenču joslas koplietošanu fiksētā dienesta un fiksētā satelītu dienesta (izplatījums–Zeme) Zemes stacijām (2016. gada 4. marta redakcijā)</w:t>
            </w:r>
          </w:p>
        </w:tc>
      </w:tr>
      <w:tr w:rsidR="0090548A" w:rsidRPr="006E14AC" w14:paraId="737EB886" w14:textId="77777777" w:rsidTr="00965AEA">
        <w:tc>
          <w:tcPr>
            <w:tcW w:w="841" w:type="dxa"/>
          </w:tcPr>
          <w:p w14:paraId="1EE9EE73"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2.11.</w:t>
            </w:r>
          </w:p>
        </w:tc>
        <w:tc>
          <w:tcPr>
            <w:tcW w:w="8220" w:type="dxa"/>
          </w:tcPr>
          <w:p w14:paraId="0F6D69C1" w14:textId="2988DABD"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ERC/DEC/(00)08 – ERC 2000. gada 19. oktobra Lēmums par 10,7–12,5 GHz radiofrekvenču joslas izmantošanu fiksētā dienesta stacijām un apraides satelītu dienesta un fiksētā satelītu dienesta (izplatījums–Zeme) Zemes stacijām</w:t>
            </w:r>
          </w:p>
        </w:tc>
      </w:tr>
      <w:tr w:rsidR="0090548A" w:rsidRPr="006E14AC" w14:paraId="2AB679C7" w14:textId="77777777" w:rsidTr="00965AEA">
        <w:tc>
          <w:tcPr>
            <w:tcW w:w="841" w:type="dxa"/>
          </w:tcPr>
          <w:p w14:paraId="5F79DB59" w14:textId="77777777" w:rsidR="0090548A" w:rsidRPr="006E14AC" w:rsidRDefault="0090548A" w:rsidP="0090548A">
            <w:pPr>
              <w:spacing w:after="120" w:line="240" w:lineRule="auto"/>
              <w:rPr>
                <w:rFonts w:ascii="Times New Roman" w:eastAsia="Times New Roman" w:hAnsi="Times New Roman" w:cs="Times New Roman"/>
                <w:sz w:val="24"/>
                <w:szCs w:val="24"/>
              </w:rPr>
            </w:pPr>
            <w:r w:rsidRPr="006E14AC">
              <w:rPr>
                <w:rFonts w:ascii="Times New Roman" w:eastAsia="Times New Roman" w:hAnsi="Times New Roman" w:cs="Times New Roman"/>
                <w:sz w:val="24"/>
                <w:szCs w:val="24"/>
                <w:lang w:eastAsia="lv-LV"/>
              </w:rPr>
              <w:t>2.12.</w:t>
            </w:r>
          </w:p>
        </w:tc>
        <w:tc>
          <w:tcPr>
            <w:tcW w:w="8220" w:type="dxa"/>
          </w:tcPr>
          <w:p w14:paraId="60E0CA1C" w14:textId="32DB77B4"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ERC/DEC/(01)11 – ERC 2001. gada 12. marta Lēmums par 34,995–35,225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radiofrekvenču joslā darbojošos maza darbības attāluma lidmodeļu vadības ierīču harmonizētajām radiofrekvencēm, tehniskajiem parametriem un atbrīvošanu no individuālajām atļaujām (2022. gada 10. jūnija redakcijā)</w:t>
            </w:r>
          </w:p>
        </w:tc>
      </w:tr>
      <w:tr w:rsidR="0090548A" w:rsidRPr="006E14AC" w14:paraId="07F5E97F" w14:textId="77777777" w:rsidTr="00965AEA">
        <w:tc>
          <w:tcPr>
            <w:tcW w:w="841" w:type="dxa"/>
          </w:tcPr>
          <w:p w14:paraId="356A8675" w14:textId="77777777" w:rsidR="0090548A" w:rsidRPr="006E14AC" w:rsidRDefault="0090548A" w:rsidP="0090548A">
            <w:pPr>
              <w:spacing w:after="120" w:line="240" w:lineRule="auto"/>
              <w:rPr>
                <w:rFonts w:ascii="Times New Roman" w:eastAsia="Times New Roman" w:hAnsi="Times New Roman" w:cs="Times New Roman"/>
                <w:sz w:val="24"/>
                <w:szCs w:val="24"/>
              </w:rPr>
            </w:pPr>
            <w:r w:rsidRPr="006E14AC">
              <w:rPr>
                <w:rFonts w:ascii="Times New Roman" w:eastAsia="Times New Roman" w:hAnsi="Times New Roman" w:cs="Times New Roman"/>
                <w:sz w:val="24"/>
                <w:szCs w:val="24"/>
                <w:lang w:eastAsia="lv-LV"/>
              </w:rPr>
              <w:t>2.13.</w:t>
            </w:r>
          </w:p>
        </w:tc>
        <w:tc>
          <w:tcPr>
            <w:tcW w:w="8220" w:type="dxa"/>
          </w:tcPr>
          <w:p w14:paraId="52B51510" w14:textId="288C0338"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ERC/DEC/(01)12 – ERC 2001. gada 12. marta Lēmums par 40,665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40,675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40,685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un 40,695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radiofrekvencēs darbojošos maza darbības attāluma modeļu vadības ierīču harmonizētajām radiofrekvencēm, tehniskajiem parametriem un atbrīvošanu no individuālajām atļaujām (2022. gada 10. jūnija redakcijā)</w:t>
            </w:r>
          </w:p>
        </w:tc>
      </w:tr>
      <w:tr w:rsidR="0090548A" w:rsidRPr="006E14AC" w14:paraId="184F0ECB" w14:textId="77777777" w:rsidTr="00965AEA">
        <w:tc>
          <w:tcPr>
            <w:tcW w:w="841" w:type="dxa"/>
          </w:tcPr>
          <w:p w14:paraId="000B6915"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2.14.</w:t>
            </w:r>
          </w:p>
        </w:tc>
        <w:tc>
          <w:tcPr>
            <w:tcW w:w="8220" w:type="dxa"/>
          </w:tcPr>
          <w:p w14:paraId="50CB0A18" w14:textId="43C91A61"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ERC/DEC/(01)17 – ERC 2001. gada 12. marta </w:t>
            </w:r>
            <w:bookmarkStart w:id="0" w:name="_Hlk144113026"/>
            <w:r w:rsidRPr="006E14AC">
              <w:rPr>
                <w:rFonts w:ascii="Times New Roman" w:eastAsia="Times New Roman" w:hAnsi="Times New Roman" w:cs="Times New Roman"/>
                <w:sz w:val="24"/>
                <w:szCs w:val="24"/>
                <w:lang w:eastAsia="lv-LV"/>
              </w:rPr>
              <w:t xml:space="preserve">Lēmums par sevišķi mazas jaudas aktīvo medicīnisko implantu harmonizētajām radiofrekvencēm, tehniskajiem parametriem un atbrīvošanu no individuālajām atļaujām, kas 401–406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radiofrekvenču joslā darbojas uz sekundāriem nosacījumiem</w:t>
            </w:r>
            <w:bookmarkEnd w:id="0"/>
            <w:r w:rsidRPr="006E14AC">
              <w:rPr>
                <w:rFonts w:ascii="Times New Roman" w:eastAsia="Times New Roman" w:hAnsi="Times New Roman" w:cs="Times New Roman"/>
                <w:sz w:val="24"/>
                <w:szCs w:val="24"/>
                <w:lang w:eastAsia="lv-LV"/>
              </w:rPr>
              <w:t xml:space="preserve"> (2022. gada 10. jūnija redakcijā)</w:t>
            </w:r>
          </w:p>
        </w:tc>
      </w:tr>
      <w:tr w:rsidR="0090548A" w:rsidRPr="006E14AC" w14:paraId="25C082E2" w14:textId="77777777" w:rsidTr="00965AEA">
        <w:tc>
          <w:tcPr>
            <w:tcW w:w="841" w:type="dxa"/>
          </w:tcPr>
          <w:p w14:paraId="2BF73B38"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2.15.</w:t>
            </w:r>
          </w:p>
        </w:tc>
        <w:tc>
          <w:tcPr>
            <w:tcW w:w="8220" w:type="dxa"/>
          </w:tcPr>
          <w:p w14:paraId="46A79308" w14:textId="3AE9E6B6" w:rsidR="0090548A" w:rsidRPr="006E14AC" w:rsidRDefault="000D41E1"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(Svītrots ar MK </w:t>
            </w:r>
            <w:r w:rsidRPr="006E14AC">
              <w:rPr>
                <w:rFonts w:ascii="Times New Roman" w:eastAsia="Times New Roman" w:hAnsi="Times New Roman"/>
                <w:sz w:val="24"/>
                <w:szCs w:val="24"/>
                <w:lang w:eastAsia="en-GB"/>
              </w:rPr>
              <w:t>202</w:t>
            </w:r>
            <w:r>
              <w:rPr>
                <w:rFonts w:ascii="Times New Roman" w:eastAsia="Times New Roman" w:hAnsi="Times New Roman"/>
                <w:sz w:val="24"/>
                <w:szCs w:val="24"/>
                <w:lang w:eastAsia="en-GB"/>
              </w:rPr>
              <w:t>4</w:t>
            </w:r>
            <w:r w:rsidRPr="006E14AC">
              <w:rPr>
                <w:rFonts w:ascii="Times New Roman" w:eastAsia="Times New Roman" w:hAnsi="Times New Roman"/>
                <w:sz w:val="24"/>
                <w:szCs w:val="24"/>
                <w:lang w:eastAsia="en-GB"/>
              </w:rPr>
              <w:t xml:space="preserve">. </w:t>
            </w:r>
            <w:proofErr w:type="spellStart"/>
            <w:r w:rsidRPr="006E14AC">
              <w:rPr>
                <w:rFonts w:ascii="Times New Roman" w:eastAsia="Times New Roman" w:hAnsi="Times New Roman"/>
                <w:sz w:val="24"/>
                <w:szCs w:val="24"/>
                <w:lang w:eastAsia="en-GB"/>
              </w:rPr>
              <w:t>gada</w:t>
            </w:r>
            <w:r>
              <w:rPr>
                <w:rFonts w:ascii="Times New Roman" w:eastAsia="Times New Roman" w:hAnsi="Times New Roman"/>
                <w:sz w:val="24"/>
                <w:szCs w:val="24"/>
                <w:lang w:eastAsia="en-GB"/>
              </w:rPr>
              <w:t>__noteikumiem</w:t>
            </w:r>
            <w:proofErr w:type="spellEnd"/>
            <w:r>
              <w:rPr>
                <w:rFonts w:ascii="Times New Roman" w:eastAsia="Times New Roman" w:hAnsi="Times New Roman"/>
                <w:sz w:val="24"/>
                <w:szCs w:val="24"/>
                <w:lang w:eastAsia="en-GB"/>
              </w:rPr>
              <w:t xml:space="preserve"> Nr.__)</w:t>
            </w:r>
          </w:p>
        </w:tc>
      </w:tr>
      <w:tr w:rsidR="0090548A" w:rsidRPr="006E14AC" w14:paraId="6200FF4A" w14:textId="77777777" w:rsidTr="00965AEA">
        <w:tc>
          <w:tcPr>
            <w:tcW w:w="841" w:type="dxa"/>
          </w:tcPr>
          <w:p w14:paraId="6569DDEF"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lastRenderedPageBreak/>
              <w:t>2.16.</w:t>
            </w:r>
          </w:p>
        </w:tc>
        <w:tc>
          <w:tcPr>
            <w:tcW w:w="8220" w:type="dxa"/>
          </w:tcPr>
          <w:p w14:paraId="2973FEC1" w14:textId="5C51418C"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ECC/DEC/(03)04 – ECC 2003. gada 17. oktobra Lēmums par satelītu galiekārtu ar ļoti mazu antenas atvērumu (VSAT), kuras darbojas radiofrekvenču joslās 14,25–14,50 GHz (Zeme–izplatījums) un 10,70–11,70 GHz (izplatījums–Zeme), atbrīvošanu no individuālajām atļaujām (2019. gada 8. marta redakcijā)</w:t>
            </w:r>
          </w:p>
        </w:tc>
      </w:tr>
      <w:tr w:rsidR="0090548A" w:rsidRPr="006E14AC" w14:paraId="2E44251A" w14:textId="77777777" w:rsidTr="00965AEA">
        <w:tc>
          <w:tcPr>
            <w:tcW w:w="841" w:type="dxa"/>
          </w:tcPr>
          <w:p w14:paraId="5B4E972B"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2.17.</w:t>
            </w:r>
          </w:p>
        </w:tc>
        <w:tc>
          <w:tcPr>
            <w:tcW w:w="8220" w:type="dxa"/>
          </w:tcPr>
          <w:p w14:paraId="710A2BED" w14:textId="5002F8A3"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ECC/DEC/(04)03 – ECC 2004. gada 19. marta Lēmums par 77–81 GHz radiofrekvenču joslu, kura nosakāma maza darbības attāluma autotransporta radariem</w:t>
            </w:r>
            <w:r>
              <w:rPr>
                <w:rFonts w:ascii="Times New Roman" w:eastAsia="Times New Roman" w:hAnsi="Times New Roman" w:cs="Times New Roman"/>
                <w:sz w:val="24"/>
                <w:szCs w:val="24"/>
                <w:lang w:eastAsia="lv-LV"/>
              </w:rPr>
              <w:t xml:space="preserve"> (</w:t>
            </w:r>
            <w:r w:rsidRPr="00555F17">
              <w:rPr>
                <w:rFonts w:ascii="Times New Roman" w:eastAsia="Times New Roman" w:hAnsi="Times New Roman" w:cs="Times New Roman"/>
                <w:sz w:val="24"/>
                <w:szCs w:val="24"/>
                <w:lang w:eastAsia="lv-LV"/>
              </w:rPr>
              <w:t>2015. gada 6. marta redakcijā)</w:t>
            </w:r>
          </w:p>
        </w:tc>
      </w:tr>
      <w:tr w:rsidR="0090548A" w:rsidRPr="006E14AC" w14:paraId="6AFB02DC" w14:textId="77777777" w:rsidTr="00965AEA">
        <w:tc>
          <w:tcPr>
            <w:tcW w:w="841" w:type="dxa"/>
          </w:tcPr>
          <w:p w14:paraId="07500F9F"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2.18.</w:t>
            </w:r>
          </w:p>
        </w:tc>
        <w:tc>
          <w:tcPr>
            <w:tcW w:w="8220" w:type="dxa"/>
          </w:tcPr>
          <w:p w14:paraId="2573EA94" w14:textId="557AC331"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ECC/DEC/(04)08 – ECC 2004. gada 12. novembra Lēmums par 5 GHz frekvenču joslas harmonizētu izmantošanu bezvadu piekļuves sistēmām, ieskaitot bezvadu lokālos tīklus (WAS/RLAN) (2022. gada 1. jūlija redakcijā)</w:t>
            </w:r>
          </w:p>
        </w:tc>
      </w:tr>
      <w:tr w:rsidR="0090548A" w:rsidRPr="006E14AC" w14:paraId="12825162" w14:textId="77777777" w:rsidTr="00965AEA">
        <w:tc>
          <w:tcPr>
            <w:tcW w:w="841" w:type="dxa"/>
          </w:tcPr>
          <w:p w14:paraId="3AA99C9F"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2.19.</w:t>
            </w:r>
          </w:p>
        </w:tc>
        <w:tc>
          <w:tcPr>
            <w:tcW w:w="8220" w:type="dxa"/>
          </w:tcPr>
          <w:p w14:paraId="17EA4C6B" w14:textId="19BA677B"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ECC/DEC/(04)09 – ECC 2004. gada 12. novembra Lēmums par 1518–1525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un 1670–1675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radiofrekvenču joslu noteikšanu mobilā satelītu dienesta sistēmām (2009. gada 26. jūnija redakcijā)</w:t>
            </w:r>
          </w:p>
        </w:tc>
      </w:tr>
      <w:tr w:rsidR="0090548A" w:rsidRPr="006E14AC" w14:paraId="52605A7B" w14:textId="77777777" w:rsidTr="00965AEA">
        <w:tc>
          <w:tcPr>
            <w:tcW w:w="841" w:type="dxa"/>
          </w:tcPr>
          <w:p w14:paraId="2C78CC08" w14:textId="77777777" w:rsidR="0090548A" w:rsidRPr="006E14AC" w:rsidRDefault="0090548A" w:rsidP="0090548A">
            <w:pPr>
              <w:spacing w:after="120" w:line="240" w:lineRule="auto"/>
              <w:rPr>
                <w:rFonts w:ascii="Times New Roman" w:eastAsia="Times New Roman" w:hAnsi="Times New Roman" w:cs="Times New Roman"/>
                <w:sz w:val="24"/>
                <w:szCs w:val="24"/>
              </w:rPr>
            </w:pPr>
            <w:r w:rsidRPr="006E14AC">
              <w:rPr>
                <w:rFonts w:ascii="Times New Roman" w:eastAsia="Times New Roman" w:hAnsi="Times New Roman" w:cs="Times New Roman"/>
                <w:sz w:val="24"/>
                <w:szCs w:val="24"/>
                <w:lang w:eastAsia="lv-LV"/>
              </w:rPr>
              <w:t>2.20.</w:t>
            </w:r>
          </w:p>
        </w:tc>
        <w:tc>
          <w:tcPr>
            <w:tcW w:w="8220" w:type="dxa"/>
          </w:tcPr>
          <w:p w14:paraId="313827EC" w14:textId="2C45D192"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ECC/DEC/(04)10 – ECC 2004. gada 12. novembra Lēmums par frekvenču joslām automobiļu </w:t>
            </w:r>
            <w:proofErr w:type="spellStart"/>
            <w:r w:rsidRPr="006E14AC">
              <w:rPr>
                <w:rFonts w:ascii="Times New Roman" w:eastAsia="Times New Roman" w:hAnsi="Times New Roman" w:cs="Times New Roman"/>
                <w:sz w:val="24"/>
                <w:szCs w:val="24"/>
                <w:lang w:eastAsia="lv-LV"/>
              </w:rPr>
              <w:t>tuvdarbības</w:t>
            </w:r>
            <w:proofErr w:type="spellEnd"/>
            <w:r w:rsidRPr="006E14AC">
              <w:rPr>
                <w:rFonts w:ascii="Times New Roman" w:eastAsia="Times New Roman" w:hAnsi="Times New Roman" w:cs="Times New Roman"/>
                <w:sz w:val="24"/>
                <w:szCs w:val="24"/>
                <w:lang w:eastAsia="lv-LV"/>
              </w:rPr>
              <w:t xml:space="preserve"> radaru (SRR) ieviešanai uz laiku (2022. gada 4. marta redakcijā)</w:t>
            </w:r>
          </w:p>
        </w:tc>
      </w:tr>
      <w:tr w:rsidR="0090548A" w:rsidRPr="006E14AC" w14:paraId="7E092A92" w14:textId="77777777" w:rsidTr="00965AEA">
        <w:tc>
          <w:tcPr>
            <w:tcW w:w="841" w:type="dxa"/>
          </w:tcPr>
          <w:p w14:paraId="557C010A"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2.21.</w:t>
            </w:r>
          </w:p>
        </w:tc>
        <w:tc>
          <w:tcPr>
            <w:tcW w:w="8220" w:type="dxa"/>
          </w:tcPr>
          <w:p w14:paraId="1140CD1A" w14:textId="36EF434C"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ECC/DEC/(05)01 – ECC 2005. gada 18. marta Lēmums par 27,5–29,5 GHz radiofrekvenču joslas izmantošanu fiksētajā dienestā un nekoordinētajām Zemes stacijām fiksētajā satelītu dienestā (Zeme–izplatījums) (2019. gada 8. marta redakcijā)</w:t>
            </w:r>
          </w:p>
        </w:tc>
      </w:tr>
      <w:tr w:rsidR="0090548A" w:rsidRPr="006E14AC" w14:paraId="74F4E7CA" w14:textId="77777777" w:rsidTr="00965AEA">
        <w:tc>
          <w:tcPr>
            <w:tcW w:w="841" w:type="dxa"/>
          </w:tcPr>
          <w:p w14:paraId="40B311DC"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2.22.</w:t>
            </w:r>
          </w:p>
        </w:tc>
        <w:tc>
          <w:tcPr>
            <w:tcW w:w="8220" w:type="dxa"/>
          </w:tcPr>
          <w:p w14:paraId="30C0F146" w14:textId="3D7060C5"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ECC/DEC/(05)02 – ECC 2005. gada 18. marta Lēmums par 169,4–169,8125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radiofrekvenču joslas izmantošanu (2019. gada 5. jūlija redakcijā)</w:t>
            </w:r>
          </w:p>
        </w:tc>
      </w:tr>
      <w:tr w:rsidR="0090548A" w:rsidRPr="006E14AC" w14:paraId="6D30326C" w14:textId="77777777" w:rsidTr="00965AEA">
        <w:tc>
          <w:tcPr>
            <w:tcW w:w="841" w:type="dxa"/>
          </w:tcPr>
          <w:p w14:paraId="726D16A8"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2.23.</w:t>
            </w:r>
          </w:p>
        </w:tc>
        <w:tc>
          <w:tcPr>
            <w:tcW w:w="8220" w:type="dxa"/>
          </w:tcPr>
          <w:p w14:paraId="5E0B28FC" w14:textId="344C8B40"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ECC/DEC/(05)05 – ECC 2005. gada 18. marta Lēmums par harmonizētu spektra </w:t>
            </w:r>
            <w:r w:rsidRPr="006E14AC">
              <w:rPr>
                <w:rFonts w:ascii="Times New Roman" w:eastAsia="Times New Roman" w:hAnsi="Times New Roman" w:cs="Times New Roman"/>
                <w:spacing w:val="-2"/>
                <w:sz w:val="24"/>
                <w:szCs w:val="24"/>
                <w:lang w:eastAsia="lv-LV"/>
              </w:rPr>
              <w:t>izmantošanu mobilo/fiksēto sakaru tīkliem (MFCN), kas darbojas 2500–2690 </w:t>
            </w:r>
            <w:proofErr w:type="spellStart"/>
            <w:r w:rsidRPr="006E14AC">
              <w:rPr>
                <w:rFonts w:ascii="Times New Roman" w:eastAsia="Times New Roman" w:hAnsi="Times New Roman" w:cs="Times New Roman"/>
                <w:spacing w:val="-2"/>
                <w:sz w:val="24"/>
                <w:szCs w:val="24"/>
                <w:lang w:eastAsia="lv-LV"/>
              </w:rPr>
              <w:t>MHz</w:t>
            </w:r>
            <w:proofErr w:type="spellEnd"/>
            <w:r w:rsidRPr="006E14AC">
              <w:rPr>
                <w:rFonts w:ascii="Times New Roman" w:eastAsia="Times New Roman" w:hAnsi="Times New Roman" w:cs="Times New Roman"/>
                <w:sz w:val="24"/>
                <w:szCs w:val="24"/>
                <w:lang w:eastAsia="lv-LV"/>
              </w:rPr>
              <w:t xml:space="preserve"> joslā (2022. gada 4. marta redakcijā)</w:t>
            </w:r>
          </w:p>
        </w:tc>
      </w:tr>
      <w:tr w:rsidR="0090548A" w:rsidRPr="006E14AC" w14:paraId="47CAD1E4" w14:textId="77777777" w:rsidTr="00965AEA">
        <w:tc>
          <w:tcPr>
            <w:tcW w:w="841" w:type="dxa"/>
          </w:tcPr>
          <w:p w14:paraId="6D0B4222"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2.24.</w:t>
            </w:r>
          </w:p>
        </w:tc>
        <w:tc>
          <w:tcPr>
            <w:tcW w:w="8220" w:type="dxa"/>
          </w:tcPr>
          <w:p w14:paraId="63F4F794" w14:textId="5839E420"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ECC/DEC/(05)08 – ECC 2005. gada 24. jūnija Lēmums par radiofrekvenču joslu pieejamību augsta blīvuma lietojumiem fiksētajā satelītu dienestā (virzienos izplatījums–Zeme un Zeme–izplatījums) </w:t>
            </w:r>
            <w:r w:rsidRPr="00AA4EB2">
              <w:rPr>
                <w:rFonts w:ascii="Times New Roman" w:eastAsia="Times New Roman" w:hAnsi="Times New Roman" w:cs="Times New Roman"/>
                <w:sz w:val="24"/>
                <w:szCs w:val="24"/>
                <w:lang w:eastAsia="lv-LV"/>
              </w:rPr>
              <w:t>(2022. gada 18. novembra redakcijā)</w:t>
            </w:r>
          </w:p>
        </w:tc>
      </w:tr>
      <w:tr w:rsidR="0090548A" w:rsidRPr="006E14AC" w14:paraId="6FBD09FD" w14:textId="77777777" w:rsidTr="00965AEA">
        <w:tc>
          <w:tcPr>
            <w:tcW w:w="841" w:type="dxa"/>
          </w:tcPr>
          <w:p w14:paraId="4AE2EB99"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2.25.</w:t>
            </w:r>
          </w:p>
        </w:tc>
        <w:tc>
          <w:tcPr>
            <w:tcW w:w="8220" w:type="dxa"/>
          </w:tcPr>
          <w:p w14:paraId="7E752944" w14:textId="33B0DD23"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ECC/DEC/(05)09 – ECC 2005. gada 24. jūnija Lēmums par kuģu Zemes staciju, kas darbojas fiksētā satelītu dienesta tīklos radiofrekvenču joslās 5925–6425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(Zeme–izplatījums) un 3700–4200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(izplatījums–Zeme), brīvu apriti un izmantošanu (2019. gada 8. marta redakcijā)</w:t>
            </w:r>
          </w:p>
        </w:tc>
      </w:tr>
      <w:tr w:rsidR="0090548A" w:rsidRPr="006E14AC" w14:paraId="1FD0F8C4" w14:textId="77777777" w:rsidTr="00965AEA">
        <w:tc>
          <w:tcPr>
            <w:tcW w:w="841" w:type="dxa"/>
          </w:tcPr>
          <w:p w14:paraId="42352B84"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2.26.</w:t>
            </w:r>
          </w:p>
        </w:tc>
        <w:tc>
          <w:tcPr>
            <w:tcW w:w="8220" w:type="dxa"/>
          </w:tcPr>
          <w:p w14:paraId="0CD3437E" w14:textId="40A0C76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ECC/DEC/(05)10 – ECC 2005. gada 24. jūnija Lēmums par kuģu Zemes staciju brīvu apriti un izmantošanu, kas darbojas fiksētā satelītu dienesta tīklos radiofrekvenču joslās 14–14,5 GHz (Zeme–izplatījums); 10,7–11,7 GHz (izplatījums–Zeme) un 12,5–12,75 GHz (izplatījums–Zeme) (2019. gada 8. marta redakcijā)</w:t>
            </w:r>
          </w:p>
        </w:tc>
      </w:tr>
      <w:tr w:rsidR="0090548A" w:rsidRPr="006E14AC" w14:paraId="0D5C2AB7" w14:textId="77777777" w:rsidTr="00965AEA">
        <w:tc>
          <w:tcPr>
            <w:tcW w:w="841" w:type="dxa"/>
          </w:tcPr>
          <w:p w14:paraId="2EE42F53"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2.27.</w:t>
            </w:r>
          </w:p>
        </w:tc>
        <w:tc>
          <w:tcPr>
            <w:tcW w:w="8220" w:type="dxa"/>
          </w:tcPr>
          <w:p w14:paraId="02F85EDE" w14:textId="4DE1AF0E"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ECC/DEC/(05)11 – ECC 2005. gada 24. jūnija Lēmums par gaisa kuģu Zemes staciju brīvu apriti un izmantošanu radiofrekvenču joslās 14–14,5 GHz (Zeme–izplatījums); 10,7–11,7 GHz (izplatījums–Zeme) un 12,5–12,75 GHz (izplatījums–Zeme</w:t>
            </w:r>
            <w:r w:rsidRPr="00DF3A82">
              <w:rPr>
                <w:rFonts w:ascii="Times New Roman" w:eastAsia="Times New Roman" w:hAnsi="Times New Roman" w:cs="Times New Roman"/>
                <w:sz w:val="24"/>
                <w:szCs w:val="24"/>
                <w:lang w:eastAsia="lv-LV"/>
              </w:rPr>
              <w:t>) (2022. gada 18. novembra redakcijā)</w:t>
            </w:r>
          </w:p>
        </w:tc>
      </w:tr>
      <w:tr w:rsidR="0090548A" w:rsidRPr="006E14AC" w14:paraId="1269EC97" w14:textId="77777777" w:rsidTr="00965AEA">
        <w:tc>
          <w:tcPr>
            <w:tcW w:w="841" w:type="dxa"/>
          </w:tcPr>
          <w:p w14:paraId="23DF6D93"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2.28.</w:t>
            </w:r>
          </w:p>
        </w:tc>
        <w:tc>
          <w:tcPr>
            <w:tcW w:w="8220" w:type="dxa"/>
          </w:tcPr>
          <w:p w14:paraId="4D7B68A2" w14:textId="3478C2DE"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ECC/DEC/(06)01 – ECC 2006. gada 24. marta Lēmums par harmonizētu spektra izmantošanu 1920–1980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un 2110–2170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joslās mobilo/fiksēto sakaru tīkliem (MFCN), tai skaitā sauszemes IMT sistēmām (2019. gada 8. marta redakcijā) MK </w:t>
            </w:r>
            <w:r w:rsidRPr="006E14AC">
              <w:rPr>
                <w:rFonts w:ascii="Times New Roman" w:eastAsia="Times New Roman" w:hAnsi="Times New Roman"/>
                <w:sz w:val="24"/>
                <w:szCs w:val="24"/>
                <w:lang w:eastAsia="en-GB"/>
              </w:rPr>
              <w:t>2023. gada</w:t>
            </w:r>
          </w:p>
        </w:tc>
      </w:tr>
      <w:tr w:rsidR="0090548A" w:rsidRPr="006E14AC" w14:paraId="316C599A" w14:textId="77777777" w:rsidTr="00965AEA">
        <w:tc>
          <w:tcPr>
            <w:tcW w:w="841" w:type="dxa"/>
          </w:tcPr>
          <w:p w14:paraId="04A61940"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lastRenderedPageBreak/>
              <w:t>2.29.</w:t>
            </w:r>
          </w:p>
        </w:tc>
        <w:tc>
          <w:tcPr>
            <w:tcW w:w="8220" w:type="dxa"/>
          </w:tcPr>
          <w:p w14:paraId="73236F28" w14:textId="787C110C" w:rsidR="0090548A" w:rsidRPr="006E14AC" w:rsidRDefault="000D41E1"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(Svītrots ar MK </w:t>
            </w:r>
            <w:r w:rsidRPr="006E14AC">
              <w:rPr>
                <w:rFonts w:ascii="Times New Roman" w:eastAsia="Times New Roman" w:hAnsi="Times New Roman"/>
                <w:sz w:val="24"/>
                <w:szCs w:val="24"/>
                <w:lang w:eastAsia="en-GB"/>
              </w:rPr>
              <w:t>202</w:t>
            </w:r>
            <w:r>
              <w:rPr>
                <w:rFonts w:ascii="Times New Roman" w:eastAsia="Times New Roman" w:hAnsi="Times New Roman"/>
                <w:sz w:val="24"/>
                <w:szCs w:val="24"/>
                <w:lang w:eastAsia="en-GB"/>
              </w:rPr>
              <w:t>4</w:t>
            </w:r>
            <w:r w:rsidRPr="006E14AC">
              <w:rPr>
                <w:rFonts w:ascii="Times New Roman" w:eastAsia="Times New Roman" w:hAnsi="Times New Roman"/>
                <w:sz w:val="24"/>
                <w:szCs w:val="24"/>
                <w:lang w:eastAsia="en-GB"/>
              </w:rPr>
              <w:t xml:space="preserve">. </w:t>
            </w:r>
            <w:proofErr w:type="spellStart"/>
            <w:r w:rsidRPr="006E14AC">
              <w:rPr>
                <w:rFonts w:ascii="Times New Roman" w:eastAsia="Times New Roman" w:hAnsi="Times New Roman"/>
                <w:sz w:val="24"/>
                <w:szCs w:val="24"/>
                <w:lang w:eastAsia="en-GB"/>
              </w:rPr>
              <w:t>gada</w:t>
            </w:r>
            <w:r>
              <w:rPr>
                <w:rFonts w:ascii="Times New Roman" w:eastAsia="Times New Roman" w:hAnsi="Times New Roman"/>
                <w:sz w:val="24"/>
                <w:szCs w:val="24"/>
                <w:lang w:eastAsia="en-GB"/>
              </w:rPr>
              <w:t>__noteikumiem</w:t>
            </w:r>
            <w:proofErr w:type="spellEnd"/>
            <w:r>
              <w:rPr>
                <w:rFonts w:ascii="Times New Roman" w:eastAsia="Times New Roman" w:hAnsi="Times New Roman"/>
                <w:sz w:val="24"/>
                <w:szCs w:val="24"/>
                <w:lang w:eastAsia="en-GB"/>
              </w:rPr>
              <w:t xml:space="preserve"> Nr.__)</w:t>
            </w:r>
          </w:p>
        </w:tc>
      </w:tr>
      <w:tr w:rsidR="0090548A" w:rsidRPr="006E14AC" w14:paraId="7566998F" w14:textId="77777777" w:rsidTr="00965AEA">
        <w:tc>
          <w:tcPr>
            <w:tcW w:w="841" w:type="dxa"/>
          </w:tcPr>
          <w:p w14:paraId="24B63D64"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2.30.</w:t>
            </w:r>
          </w:p>
        </w:tc>
        <w:tc>
          <w:tcPr>
            <w:tcW w:w="8220" w:type="dxa"/>
          </w:tcPr>
          <w:p w14:paraId="7E5DF400" w14:textId="75D7F72C"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ECC/DEC/(06)03 – ECC 2006. gada 24. marta Lēmums par augstas EIRP satelītu </w:t>
            </w:r>
            <w:r w:rsidRPr="00DF3A82">
              <w:rPr>
                <w:rFonts w:ascii="Times New Roman" w:eastAsia="Times New Roman" w:hAnsi="Times New Roman" w:cs="Times New Roman"/>
                <w:sz w:val="24"/>
                <w:szCs w:val="24"/>
                <w:lang w:eastAsia="lv-LV"/>
              </w:rPr>
              <w:t>galiekārtu (HEST), kas darbojas ar ģeostacionāriem satelītiem un radiofrekvenču joslās 10,70–12,75 GHz vai 19,70–20,20 GHz virzienā izplatījums–Zeme un</w:t>
            </w:r>
            <w:r w:rsidRPr="006E14AC">
              <w:rPr>
                <w:rFonts w:ascii="Times New Roman" w:eastAsia="Times New Roman" w:hAnsi="Times New Roman" w:cs="Times New Roman"/>
                <w:sz w:val="24"/>
                <w:szCs w:val="24"/>
                <w:lang w:eastAsia="lv-LV"/>
              </w:rPr>
              <w:t xml:space="preserve"> 14,00–14,25 GHz vai 29,50–30,00 GHz virzienā Zeme–izplatījums, atbrīvošanu no individuālajām atļaujām (</w:t>
            </w:r>
            <w:r>
              <w:rPr>
                <w:rFonts w:ascii="Times New Roman" w:eastAsia="Times New Roman" w:hAnsi="Times New Roman" w:cs="Times New Roman"/>
                <w:sz w:val="24"/>
                <w:szCs w:val="24"/>
                <w:lang w:eastAsia="lv-LV"/>
              </w:rPr>
              <w:t>2022</w:t>
            </w:r>
            <w:r w:rsidRPr="006E14AC">
              <w:rPr>
                <w:rFonts w:ascii="Times New Roman" w:eastAsia="Times New Roman" w:hAnsi="Times New Roman" w:cs="Times New Roman"/>
                <w:sz w:val="24"/>
                <w:szCs w:val="24"/>
                <w:lang w:eastAsia="lv-LV"/>
              </w:rPr>
              <w:t xml:space="preserve">. gada </w:t>
            </w:r>
            <w:r>
              <w:rPr>
                <w:rFonts w:ascii="Times New Roman" w:eastAsia="Times New Roman" w:hAnsi="Times New Roman" w:cs="Times New Roman"/>
                <w:sz w:val="24"/>
                <w:szCs w:val="24"/>
                <w:lang w:eastAsia="lv-LV"/>
              </w:rPr>
              <w:t>18</w:t>
            </w:r>
            <w:r w:rsidRPr="006E14AC">
              <w:rPr>
                <w:rFonts w:ascii="Times New Roman" w:eastAsia="Times New Roman" w:hAnsi="Times New Roman" w:cs="Times New Roman"/>
                <w:sz w:val="24"/>
                <w:szCs w:val="24"/>
                <w:lang w:eastAsia="lv-LV"/>
              </w:rPr>
              <w:t>. </w:t>
            </w:r>
            <w:r>
              <w:rPr>
                <w:rFonts w:ascii="Times New Roman" w:eastAsia="Times New Roman" w:hAnsi="Times New Roman" w:cs="Times New Roman"/>
                <w:sz w:val="24"/>
                <w:szCs w:val="24"/>
                <w:lang w:eastAsia="lv-LV"/>
              </w:rPr>
              <w:t>novembra</w:t>
            </w:r>
            <w:r w:rsidRPr="006E14AC">
              <w:rPr>
                <w:rFonts w:ascii="Times New Roman" w:eastAsia="Times New Roman" w:hAnsi="Times New Roman" w:cs="Times New Roman"/>
                <w:sz w:val="24"/>
                <w:szCs w:val="24"/>
                <w:lang w:eastAsia="lv-LV"/>
              </w:rPr>
              <w:t xml:space="preserve"> redakcijā)</w:t>
            </w:r>
          </w:p>
        </w:tc>
      </w:tr>
      <w:tr w:rsidR="0090548A" w:rsidRPr="006E14AC" w14:paraId="3247DDA9" w14:textId="77777777" w:rsidTr="00965AEA">
        <w:tc>
          <w:tcPr>
            <w:tcW w:w="841" w:type="dxa"/>
          </w:tcPr>
          <w:p w14:paraId="7C1E0300"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2.31.</w:t>
            </w:r>
          </w:p>
        </w:tc>
        <w:tc>
          <w:tcPr>
            <w:tcW w:w="8220" w:type="dxa"/>
          </w:tcPr>
          <w:p w14:paraId="2666012D" w14:textId="73522F1C" w:rsidR="0090548A" w:rsidRPr="006E14AC" w:rsidRDefault="0090548A" w:rsidP="0090548A">
            <w:pPr>
              <w:pBdr>
                <w:top w:val="none" w:sz="0" w:space="0" w:color="000000"/>
                <w:left w:val="none" w:sz="0" w:space="0" w:color="000000"/>
                <w:bottom w:val="none" w:sz="0" w:space="0" w:color="000000"/>
                <w:right w:val="none" w:sz="0" w:space="0" w:color="000000"/>
                <w:between w:val="none" w:sz="0" w:space="0" w:color="000000"/>
              </w:pBd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ECC/DEC(06)04 – 2006. gada 24. marta Lēmums par iekārtu, kuras izmanto ultraplatjoslas (UWB) tehnoloģiju, radiofrekvencēs zem 10,6 GHz harmonizētu izmantošanu, atbrīvošanu no individuālajām atļaujām un brīvu apriti (</w:t>
            </w:r>
            <w:r>
              <w:rPr>
                <w:rFonts w:ascii="Times New Roman" w:eastAsia="Times New Roman" w:hAnsi="Times New Roman" w:cs="Times New Roman"/>
                <w:sz w:val="24"/>
                <w:szCs w:val="24"/>
                <w:lang w:eastAsia="lv-LV"/>
              </w:rPr>
              <w:t>2022</w:t>
            </w:r>
            <w:r w:rsidRPr="006E14AC">
              <w:rPr>
                <w:rFonts w:ascii="Times New Roman" w:eastAsia="Times New Roman" w:hAnsi="Times New Roman" w:cs="Times New Roman"/>
                <w:sz w:val="24"/>
                <w:szCs w:val="24"/>
                <w:lang w:eastAsia="lv-LV"/>
              </w:rPr>
              <w:t xml:space="preserve">. gada </w:t>
            </w:r>
            <w:r>
              <w:rPr>
                <w:rFonts w:ascii="Times New Roman" w:eastAsia="Times New Roman" w:hAnsi="Times New Roman" w:cs="Times New Roman"/>
                <w:sz w:val="24"/>
                <w:szCs w:val="24"/>
                <w:lang w:eastAsia="lv-LV"/>
              </w:rPr>
              <w:t>18</w:t>
            </w:r>
            <w:r w:rsidRPr="006E14AC">
              <w:rPr>
                <w:rFonts w:ascii="Times New Roman" w:eastAsia="Times New Roman" w:hAnsi="Times New Roman" w:cs="Times New Roman"/>
                <w:sz w:val="24"/>
                <w:szCs w:val="24"/>
                <w:lang w:eastAsia="lv-LV"/>
              </w:rPr>
              <w:t>. </w:t>
            </w:r>
            <w:r>
              <w:rPr>
                <w:rFonts w:ascii="Times New Roman" w:eastAsia="Times New Roman" w:hAnsi="Times New Roman" w:cs="Times New Roman"/>
                <w:sz w:val="24"/>
                <w:szCs w:val="24"/>
                <w:lang w:eastAsia="lv-LV"/>
              </w:rPr>
              <w:t>novembra</w:t>
            </w:r>
            <w:r w:rsidRPr="006E14AC">
              <w:rPr>
                <w:rFonts w:ascii="Times New Roman" w:eastAsia="Times New Roman" w:hAnsi="Times New Roman" w:cs="Times New Roman"/>
                <w:sz w:val="24"/>
                <w:szCs w:val="24"/>
                <w:lang w:eastAsia="lv-LV"/>
              </w:rPr>
              <w:t xml:space="preserve"> redakcijā)</w:t>
            </w:r>
          </w:p>
        </w:tc>
      </w:tr>
      <w:tr w:rsidR="0090548A" w:rsidRPr="006E14AC" w14:paraId="541825DE" w14:textId="77777777" w:rsidTr="00965AEA">
        <w:tc>
          <w:tcPr>
            <w:tcW w:w="841" w:type="dxa"/>
          </w:tcPr>
          <w:p w14:paraId="0A0F6CB9"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2.32.</w:t>
            </w:r>
          </w:p>
        </w:tc>
        <w:tc>
          <w:tcPr>
            <w:tcW w:w="8220" w:type="dxa"/>
          </w:tcPr>
          <w:p w14:paraId="0CCA9DE6" w14:textId="58D22879"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ECC/DEC/(06)07 – ECC 2006. gada 1. decembra Lēmums par harmonizētu gaisa kuģu GSM un LTE sistēmu izmantošanu 1710–1785 un 1805–1880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frekvenču joslās un gaisa kuģu UMTS sistēmu izmantošanu 1920–1980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un 2110–2170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frekvenču joslās </w:t>
            </w:r>
            <w:r>
              <w:rPr>
                <w:rFonts w:ascii="Times New Roman" w:eastAsia="Times New Roman" w:hAnsi="Times New Roman" w:cs="Times New Roman"/>
                <w:sz w:val="24"/>
                <w:szCs w:val="24"/>
                <w:lang w:eastAsia="lv-LV"/>
              </w:rPr>
              <w:t>(2022</w:t>
            </w:r>
            <w:r w:rsidRPr="006E14AC">
              <w:rPr>
                <w:rFonts w:ascii="Times New Roman" w:eastAsia="Times New Roman" w:hAnsi="Times New Roman" w:cs="Times New Roman"/>
                <w:sz w:val="24"/>
                <w:szCs w:val="24"/>
                <w:lang w:eastAsia="lv-LV"/>
              </w:rPr>
              <w:t xml:space="preserve">. gada </w:t>
            </w:r>
            <w:r>
              <w:rPr>
                <w:rFonts w:ascii="Times New Roman" w:eastAsia="Times New Roman" w:hAnsi="Times New Roman" w:cs="Times New Roman"/>
                <w:sz w:val="24"/>
                <w:szCs w:val="24"/>
                <w:lang w:eastAsia="lv-LV"/>
              </w:rPr>
              <w:t>18</w:t>
            </w:r>
            <w:r w:rsidRPr="006E14AC">
              <w:rPr>
                <w:rFonts w:ascii="Times New Roman" w:eastAsia="Times New Roman" w:hAnsi="Times New Roman" w:cs="Times New Roman"/>
                <w:sz w:val="24"/>
                <w:szCs w:val="24"/>
                <w:lang w:eastAsia="lv-LV"/>
              </w:rPr>
              <w:t>. </w:t>
            </w:r>
            <w:r>
              <w:rPr>
                <w:rFonts w:ascii="Times New Roman" w:eastAsia="Times New Roman" w:hAnsi="Times New Roman" w:cs="Times New Roman"/>
                <w:sz w:val="24"/>
                <w:szCs w:val="24"/>
                <w:lang w:eastAsia="lv-LV"/>
              </w:rPr>
              <w:t>novembra</w:t>
            </w:r>
            <w:r w:rsidRPr="006E14AC">
              <w:rPr>
                <w:rFonts w:ascii="Times New Roman" w:eastAsia="Times New Roman" w:hAnsi="Times New Roman" w:cs="Times New Roman"/>
                <w:sz w:val="24"/>
                <w:szCs w:val="24"/>
                <w:lang w:eastAsia="lv-LV"/>
              </w:rPr>
              <w:t xml:space="preserve"> redakcijā)</w:t>
            </w:r>
          </w:p>
        </w:tc>
      </w:tr>
      <w:tr w:rsidR="0090548A" w:rsidRPr="006E14AC" w14:paraId="368D496F" w14:textId="77777777" w:rsidTr="00965AEA">
        <w:tc>
          <w:tcPr>
            <w:tcW w:w="841" w:type="dxa"/>
          </w:tcPr>
          <w:p w14:paraId="3D71A105"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2.33.</w:t>
            </w:r>
          </w:p>
        </w:tc>
        <w:tc>
          <w:tcPr>
            <w:tcW w:w="8220" w:type="dxa"/>
          </w:tcPr>
          <w:p w14:paraId="4B3B21D2" w14:textId="45967F3E"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ECC/DEC(06)08 – ECC 2006. gada 1. decembra Lēmums par radiofrekvenču spektra izmantošanu zemes un sienu zondēšanas radaru (GPR/WPR) </w:t>
            </w:r>
            <w:proofErr w:type="spellStart"/>
            <w:r w:rsidRPr="006E14AC">
              <w:rPr>
                <w:rFonts w:ascii="Times New Roman" w:eastAsia="Times New Roman" w:hAnsi="Times New Roman" w:cs="Times New Roman"/>
                <w:sz w:val="24"/>
                <w:szCs w:val="24"/>
                <w:lang w:eastAsia="lv-LV"/>
              </w:rPr>
              <w:t>attēlveidošanas</w:t>
            </w:r>
            <w:proofErr w:type="spellEnd"/>
            <w:r w:rsidRPr="006E14AC">
              <w:rPr>
                <w:rFonts w:ascii="Times New Roman" w:eastAsia="Times New Roman" w:hAnsi="Times New Roman" w:cs="Times New Roman"/>
                <w:sz w:val="24"/>
                <w:szCs w:val="24"/>
                <w:lang w:eastAsia="lv-LV"/>
              </w:rPr>
              <w:t xml:space="preserve"> sistēmās (2018. gada 26. oktobra redakcijā)</w:t>
            </w:r>
          </w:p>
        </w:tc>
      </w:tr>
      <w:tr w:rsidR="0090548A" w:rsidRPr="006E14AC" w14:paraId="164CBFD6" w14:textId="77777777" w:rsidTr="00965AEA">
        <w:tc>
          <w:tcPr>
            <w:tcW w:w="841" w:type="dxa"/>
          </w:tcPr>
          <w:p w14:paraId="6547007D"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2.34.</w:t>
            </w:r>
          </w:p>
        </w:tc>
        <w:tc>
          <w:tcPr>
            <w:tcW w:w="8220" w:type="dxa"/>
          </w:tcPr>
          <w:p w14:paraId="6FEA9B17" w14:textId="1934298E"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ECC/DEC/(06)09 – ECC 2006. gada 1. decembra Lēmums par 1980–2010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un 2170–2200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radiofrekvenču joslu noteikšanu izmantošanai mobilā satelītu dienesta sistēmām, tostarp sistēmām ar papildu zemes komponentēm (2007. gada 5. septembra redakcijā)</w:t>
            </w:r>
          </w:p>
        </w:tc>
      </w:tr>
      <w:tr w:rsidR="0090548A" w:rsidRPr="006E14AC" w14:paraId="2DE686BB" w14:textId="77777777" w:rsidTr="00965AEA">
        <w:tc>
          <w:tcPr>
            <w:tcW w:w="841" w:type="dxa"/>
          </w:tcPr>
          <w:p w14:paraId="19683F99"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2.35.</w:t>
            </w:r>
          </w:p>
        </w:tc>
        <w:tc>
          <w:tcPr>
            <w:tcW w:w="8220" w:type="dxa"/>
          </w:tcPr>
          <w:p w14:paraId="4F5C95AA" w14:textId="382EB802"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ECC/DEC/(06)10 – ECC 2006. gada 1. decembra Lēmums par zemes dienestu darbības pāreju no 1980–2010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un 2170–2200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joslām, lai sekmētu mobilā satelītu dienesta (MSS) harmonizētu ieviešanu un attīstību, tai skaitā papildinot ar papildu zemes komponenti (2022. gada 4. marta redakcijā)</w:t>
            </w:r>
          </w:p>
        </w:tc>
      </w:tr>
      <w:tr w:rsidR="0090548A" w:rsidRPr="006E14AC" w14:paraId="2B03DBBC" w14:textId="77777777" w:rsidTr="00965AEA">
        <w:tc>
          <w:tcPr>
            <w:tcW w:w="841" w:type="dxa"/>
          </w:tcPr>
          <w:p w14:paraId="7FCB83F4"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2.36.</w:t>
            </w:r>
          </w:p>
        </w:tc>
        <w:tc>
          <w:tcPr>
            <w:tcW w:w="8220" w:type="dxa"/>
          </w:tcPr>
          <w:p w14:paraId="3D92278B" w14:textId="6C455738"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ECC/DEC/(06)13 – ECC 2006. gada 1. decembra Lēmums par harmonizētiem tehniskajiem nosacījumiem mobilo/fiksēto sakaru tīkliem (MFCN), tajā skaitā IMT, kas nav GSM un EC-GSM </w:t>
            </w:r>
            <w:proofErr w:type="spellStart"/>
            <w:r w:rsidRPr="006E14AC">
              <w:rPr>
                <w:rFonts w:ascii="Times New Roman" w:eastAsia="Times New Roman" w:hAnsi="Times New Roman" w:cs="Times New Roman"/>
                <w:sz w:val="24"/>
                <w:szCs w:val="24"/>
                <w:lang w:eastAsia="lv-LV"/>
              </w:rPr>
              <w:t>IoT</w:t>
            </w:r>
            <w:proofErr w:type="spellEnd"/>
            <w:r w:rsidRPr="006E14AC">
              <w:rPr>
                <w:rFonts w:ascii="Times New Roman" w:eastAsia="Times New Roman" w:hAnsi="Times New Roman" w:cs="Times New Roman"/>
                <w:sz w:val="24"/>
                <w:szCs w:val="24"/>
                <w:lang w:eastAsia="lv-LV"/>
              </w:rPr>
              <w:t xml:space="preserve">, frekvenču joslās 880–915/925–960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1710–1785/1805–1880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(2022. gada 4. marta redakcijā)</w:t>
            </w:r>
          </w:p>
        </w:tc>
      </w:tr>
      <w:tr w:rsidR="0090548A" w:rsidRPr="006E14AC" w14:paraId="4277B0C5" w14:textId="77777777" w:rsidTr="00965AEA">
        <w:tc>
          <w:tcPr>
            <w:tcW w:w="841" w:type="dxa"/>
          </w:tcPr>
          <w:p w14:paraId="4E1185C6"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2.37.</w:t>
            </w:r>
          </w:p>
        </w:tc>
        <w:tc>
          <w:tcPr>
            <w:tcW w:w="8220" w:type="dxa"/>
          </w:tcPr>
          <w:p w14:paraId="1145EBE7" w14:textId="7355EC35"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ECC/DEC/(07)01 – ECC 2007. gada 30. marta Lēmums par materiālu zondēšanas iekārtu, kas izmanto ultraplatjoslas (UWB) tehnoloģiju, harmonizētu izmantošanu, atbrīvošanu no individuālām atļaujām un brīvu apriti (2022. gada 1. jūlija redakcijā)</w:t>
            </w:r>
          </w:p>
        </w:tc>
      </w:tr>
      <w:tr w:rsidR="0090548A" w:rsidRPr="006E14AC" w14:paraId="540F2696" w14:textId="77777777" w:rsidTr="00965AEA">
        <w:tc>
          <w:tcPr>
            <w:tcW w:w="841" w:type="dxa"/>
          </w:tcPr>
          <w:p w14:paraId="04C543B8"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2.38.</w:t>
            </w:r>
          </w:p>
        </w:tc>
        <w:tc>
          <w:tcPr>
            <w:tcW w:w="8220" w:type="dxa"/>
          </w:tcPr>
          <w:p w14:paraId="1EC3AEA1" w14:textId="2D2E6078"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ECC/DEC/(08)01 – ECC 2008. gada 14. marta Lēmums par 5875–5935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frekvenču joslas </w:t>
            </w:r>
            <w:r w:rsidRPr="00AF63C4">
              <w:rPr>
                <w:rFonts w:ascii="Times New Roman" w:eastAsia="Times New Roman" w:hAnsi="Times New Roman" w:cs="Times New Roman"/>
                <w:sz w:val="24"/>
                <w:szCs w:val="24"/>
                <w:lang w:eastAsia="lv-LV"/>
              </w:rPr>
              <w:t xml:space="preserve">harmonizētu izmantošanu ar drošību saistītajām </w:t>
            </w:r>
            <w:proofErr w:type="spellStart"/>
            <w:r w:rsidRPr="00AF63C4">
              <w:rPr>
                <w:rFonts w:ascii="Times New Roman" w:eastAsia="Times New Roman" w:hAnsi="Times New Roman" w:cs="Times New Roman"/>
                <w:sz w:val="24"/>
                <w:szCs w:val="24"/>
                <w:lang w:eastAsia="lv-LV"/>
              </w:rPr>
              <w:t>intelektiskajām</w:t>
            </w:r>
            <w:proofErr w:type="spellEnd"/>
            <w:r w:rsidRPr="00AF63C4">
              <w:rPr>
                <w:rFonts w:ascii="Times New Roman" w:eastAsia="Times New Roman" w:hAnsi="Times New Roman" w:cs="Times New Roman"/>
                <w:sz w:val="24"/>
                <w:szCs w:val="24"/>
                <w:lang w:eastAsia="lv-LV"/>
              </w:rPr>
              <w:t xml:space="preserve"> transporta sistēmām (ITS) (</w:t>
            </w:r>
            <w:r w:rsidRPr="00555F17">
              <w:rPr>
                <w:rFonts w:ascii="Times New Roman" w:eastAsia="Times New Roman" w:hAnsi="Times New Roman" w:cs="Times New Roman"/>
                <w:sz w:val="24"/>
                <w:szCs w:val="24"/>
                <w:lang w:eastAsia="lv-LV"/>
              </w:rPr>
              <w:t>2022</w:t>
            </w:r>
            <w:r w:rsidRPr="00AF63C4">
              <w:rPr>
                <w:rFonts w:ascii="Times New Roman" w:eastAsia="Times New Roman" w:hAnsi="Times New Roman" w:cs="Times New Roman"/>
                <w:sz w:val="24"/>
                <w:szCs w:val="24"/>
                <w:lang w:eastAsia="lv-LV"/>
              </w:rPr>
              <w:t xml:space="preserve">. gada </w:t>
            </w:r>
            <w:r w:rsidRPr="00555F17">
              <w:rPr>
                <w:rFonts w:ascii="Times New Roman" w:eastAsia="Times New Roman" w:hAnsi="Times New Roman" w:cs="Times New Roman"/>
                <w:sz w:val="24"/>
                <w:szCs w:val="24"/>
                <w:lang w:eastAsia="lv-LV"/>
              </w:rPr>
              <w:t>18</w:t>
            </w:r>
            <w:r w:rsidRPr="00AF63C4">
              <w:rPr>
                <w:rFonts w:ascii="Times New Roman" w:eastAsia="Times New Roman" w:hAnsi="Times New Roman" w:cs="Times New Roman"/>
                <w:sz w:val="24"/>
                <w:szCs w:val="24"/>
                <w:lang w:eastAsia="lv-LV"/>
              </w:rPr>
              <w:t>. </w:t>
            </w:r>
            <w:r w:rsidRPr="00555F17">
              <w:rPr>
                <w:rFonts w:ascii="Times New Roman" w:eastAsia="Times New Roman" w:hAnsi="Times New Roman" w:cs="Times New Roman"/>
                <w:sz w:val="24"/>
                <w:szCs w:val="24"/>
                <w:lang w:eastAsia="lv-LV"/>
              </w:rPr>
              <w:t>novembra</w:t>
            </w:r>
            <w:r w:rsidRPr="00AF63C4">
              <w:rPr>
                <w:rFonts w:ascii="Times New Roman" w:eastAsia="Times New Roman" w:hAnsi="Times New Roman" w:cs="Times New Roman"/>
                <w:sz w:val="24"/>
                <w:szCs w:val="24"/>
                <w:lang w:eastAsia="lv-LV"/>
              </w:rPr>
              <w:t xml:space="preserve"> redakcijā)</w:t>
            </w:r>
          </w:p>
        </w:tc>
      </w:tr>
      <w:tr w:rsidR="0090548A" w:rsidRPr="006E14AC" w14:paraId="70B612E1" w14:textId="77777777" w:rsidTr="00965AEA">
        <w:tc>
          <w:tcPr>
            <w:tcW w:w="841" w:type="dxa"/>
          </w:tcPr>
          <w:p w14:paraId="644828FF"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2.39.</w:t>
            </w:r>
          </w:p>
        </w:tc>
        <w:tc>
          <w:tcPr>
            <w:tcW w:w="8220" w:type="dxa"/>
          </w:tcPr>
          <w:p w14:paraId="3F59BD0B" w14:textId="7D4AC11F" w:rsidR="0090548A" w:rsidRPr="006E14AC" w:rsidRDefault="0090548A" w:rsidP="0090548A">
            <w:pPr>
              <w:spacing w:after="120" w:line="240" w:lineRule="auto"/>
              <w:ind w:right="227"/>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ECC/DEC/(08)08 – ECC 2008. gada 31. oktobra Lēmums par GSM sistēmu 900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un 1800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joslās, UMTS sistēmu 2 GHz joslā un LTE un 5G NR ne-AAS sistēmu 1800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un 2,6 GHz (FDD) joslās harmonizētu izmantošanu uz kuģiem (2022. gada 4. marta redakcijā)</w:t>
            </w:r>
          </w:p>
        </w:tc>
      </w:tr>
      <w:tr w:rsidR="0090548A" w:rsidRPr="006E14AC" w14:paraId="43B04C3D" w14:textId="77777777" w:rsidTr="00965AEA">
        <w:tc>
          <w:tcPr>
            <w:tcW w:w="841" w:type="dxa"/>
          </w:tcPr>
          <w:p w14:paraId="13FF314F"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2.40.</w:t>
            </w:r>
          </w:p>
        </w:tc>
        <w:tc>
          <w:tcPr>
            <w:tcW w:w="8220" w:type="dxa"/>
          </w:tcPr>
          <w:p w14:paraId="40136902" w14:textId="4055220B" w:rsidR="0090548A" w:rsidRPr="006E14AC" w:rsidRDefault="0090548A" w:rsidP="0090548A">
            <w:pPr>
              <w:pBdr>
                <w:top w:val="none" w:sz="0" w:space="0" w:color="000000"/>
                <w:left w:val="none" w:sz="0" w:space="0" w:color="000000"/>
                <w:bottom w:val="none" w:sz="0" w:space="0" w:color="000000"/>
                <w:right w:val="none" w:sz="0" w:space="0" w:color="000000"/>
                <w:between w:val="none" w:sz="0" w:space="0" w:color="000000"/>
              </w:pBd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ECC/DEC/(09)01 – ECC 2009. gada 13. marta Lēmums par 63,72–65,88 GHz frekvenču joslas harmonizētu izmantošanu </w:t>
            </w:r>
            <w:proofErr w:type="spellStart"/>
            <w:r w:rsidRPr="006E14AC">
              <w:rPr>
                <w:rFonts w:ascii="Times New Roman" w:eastAsia="Times New Roman" w:hAnsi="Times New Roman" w:cs="Times New Roman"/>
                <w:sz w:val="24"/>
                <w:szCs w:val="24"/>
                <w:lang w:eastAsia="lv-LV"/>
              </w:rPr>
              <w:t>intelektiskajām</w:t>
            </w:r>
            <w:proofErr w:type="spellEnd"/>
            <w:r w:rsidRPr="006E14AC">
              <w:rPr>
                <w:rFonts w:ascii="Times New Roman" w:eastAsia="Times New Roman" w:hAnsi="Times New Roman" w:cs="Times New Roman"/>
                <w:sz w:val="24"/>
                <w:szCs w:val="24"/>
                <w:lang w:eastAsia="lv-LV"/>
              </w:rPr>
              <w:t xml:space="preserve"> transporta sistēmām (ITS) (2019. gada 5. jūlija redakcijā)</w:t>
            </w:r>
          </w:p>
        </w:tc>
      </w:tr>
      <w:tr w:rsidR="0090548A" w:rsidRPr="006E14AC" w14:paraId="15D9CF43" w14:textId="77777777" w:rsidTr="00965AEA">
        <w:tc>
          <w:tcPr>
            <w:tcW w:w="841" w:type="dxa"/>
          </w:tcPr>
          <w:p w14:paraId="5D69AA2F"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lastRenderedPageBreak/>
              <w:t>2.41.</w:t>
            </w:r>
          </w:p>
        </w:tc>
        <w:tc>
          <w:tcPr>
            <w:tcW w:w="8220" w:type="dxa"/>
          </w:tcPr>
          <w:p w14:paraId="39B2A7BD" w14:textId="7850C19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ECC/DEC/(09)02 – ECC 2009. gada 26. jūnija Lēmums par 1610–1626,5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un 2483,5–2500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joslu saskaņotu izmantošanu mobilo satelītu dienesta sistēmās (2012. gada 2. novembra redakcijā)</w:t>
            </w:r>
          </w:p>
        </w:tc>
      </w:tr>
      <w:tr w:rsidR="0090548A" w:rsidRPr="006E14AC" w14:paraId="277FFACC" w14:textId="77777777" w:rsidTr="00965AEA">
        <w:tc>
          <w:tcPr>
            <w:tcW w:w="841" w:type="dxa"/>
          </w:tcPr>
          <w:p w14:paraId="5FF0E965"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2.42.</w:t>
            </w:r>
          </w:p>
        </w:tc>
        <w:tc>
          <w:tcPr>
            <w:tcW w:w="8220" w:type="dxa"/>
          </w:tcPr>
          <w:p w14:paraId="3836C067" w14:textId="1E8F969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ECC/DEC/(09)03 – ECC 2009. gada 30. oktobra Lēmums par harmonizētajiem nosacījumiem mobilo/fiksēto sakaru tīklu (MFCN) darbībai 790–862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joslā</w:t>
            </w:r>
          </w:p>
        </w:tc>
      </w:tr>
      <w:tr w:rsidR="0090548A" w:rsidRPr="006E14AC" w14:paraId="5FC682C1" w14:textId="77777777" w:rsidTr="00965AEA">
        <w:tc>
          <w:tcPr>
            <w:tcW w:w="841" w:type="dxa"/>
          </w:tcPr>
          <w:p w14:paraId="73C5339B"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2.43.</w:t>
            </w:r>
          </w:p>
        </w:tc>
        <w:tc>
          <w:tcPr>
            <w:tcW w:w="8220" w:type="dxa"/>
          </w:tcPr>
          <w:p w14:paraId="6F59B6CB" w14:textId="673797FC"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ECC/DEC/(09)04 – ECC 2009. gada 30. oktobra Lēmums par mobilo raidošo satelītu </w:t>
            </w:r>
            <w:r>
              <w:rPr>
                <w:rFonts w:ascii="Times New Roman" w:eastAsia="Times New Roman" w:hAnsi="Times New Roman" w:cs="Times New Roman"/>
                <w:sz w:val="24"/>
                <w:szCs w:val="24"/>
                <w:lang w:eastAsia="lv-LV"/>
              </w:rPr>
              <w:t>galiekārtu</w:t>
            </w:r>
            <w:r w:rsidRPr="006E14AC">
              <w:rPr>
                <w:rFonts w:ascii="Times New Roman" w:eastAsia="Times New Roman" w:hAnsi="Times New Roman" w:cs="Times New Roman"/>
                <w:sz w:val="24"/>
                <w:szCs w:val="24"/>
                <w:lang w:eastAsia="lv-LV"/>
              </w:rPr>
              <w:t xml:space="preserve"> atbrīvošanu no individuālajām atļaujām, brīvu apriti un izmantošanu mobilo satelītu dienesta iedalījumos frekvenču joslā 1613,8–1626,5 </w:t>
            </w:r>
            <w:proofErr w:type="spellStart"/>
            <w:r w:rsidRPr="006E14AC">
              <w:rPr>
                <w:rFonts w:ascii="Times New Roman" w:eastAsia="Times New Roman" w:hAnsi="Times New Roman" w:cs="Times New Roman"/>
                <w:sz w:val="24"/>
                <w:szCs w:val="24"/>
                <w:lang w:eastAsia="lv-LV"/>
              </w:rPr>
              <w:t>MHz</w:t>
            </w:r>
            <w:proofErr w:type="spellEnd"/>
          </w:p>
        </w:tc>
      </w:tr>
      <w:tr w:rsidR="0090548A" w:rsidRPr="006E14AC" w14:paraId="19C51BC6" w14:textId="77777777" w:rsidTr="00965AEA">
        <w:tc>
          <w:tcPr>
            <w:tcW w:w="841" w:type="dxa"/>
          </w:tcPr>
          <w:p w14:paraId="5D930D70"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2.44.</w:t>
            </w:r>
          </w:p>
        </w:tc>
        <w:tc>
          <w:tcPr>
            <w:tcW w:w="8220" w:type="dxa"/>
          </w:tcPr>
          <w:p w14:paraId="6D776E08" w14:textId="5BE7655E"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ECC/DEC/(10)01 – ECC 2010. gada 12. novembra Lēmums par fiksētā dienesta, mobilā dienesta un Zemes izpētes satelītu dienesta (pasīvā) koplietošanas nosacījumiem 10,6–10,68 GHz joslā</w:t>
            </w:r>
          </w:p>
        </w:tc>
      </w:tr>
      <w:tr w:rsidR="0090548A" w:rsidRPr="006E14AC" w14:paraId="346F8EF2" w14:textId="77777777" w:rsidTr="00965AEA">
        <w:tc>
          <w:tcPr>
            <w:tcW w:w="841" w:type="dxa"/>
          </w:tcPr>
          <w:p w14:paraId="39C73FF0"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2.45.</w:t>
            </w:r>
          </w:p>
        </w:tc>
        <w:tc>
          <w:tcPr>
            <w:tcW w:w="8220" w:type="dxa"/>
          </w:tcPr>
          <w:p w14:paraId="2BECBF31" w14:textId="423C2786"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ECC/DEC/(10)02 – ECC 2010. gada 12. novembra Lēmums par saderību starp fiksēto satelītu dienestu 30–31 GHz joslā un Zemes izpētes dienestu (pasīvo) 31,3–31,5 GHz joslā</w:t>
            </w:r>
          </w:p>
        </w:tc>
      </w:tr>
      <w:tr w:rsidR="0090548A" w:rsidRPr="006E14AC" w14:paraId="40FF7365" w14:textId="77777777" w:rsidTr="00965AEA">
        <w:tc>
          <w:tcPr>
            <w:tcW w:w="841" w:type="dxa"/>
          </w:tcPr>
          <w:p w14:paraId="36CBB314"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2.46.</w:t>
            </w:r>
          </w:p>
        </w:tc>
        <w:tc>
          <w:tcPr>
            <w:tcW w:w="8220" w:type="dxa"/>
          </w:tcPr>
          <w:p w14:paraId="3FA1E5F3" w14:textId="50976AF3"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ECC/DEC/(11)01 – ECC 2011. gada 11. marta Lēmums par Zemes izpētes satelītu dienesta (pasīvā) aizsardzību 1400–1427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radiofrekvenču joslā (2017. gada 3. marta redakcijā)</w:t>
            </w:r>
          </w:p>
        </w:tc>
      </w:tr>
      <w:tr w:rsidR="0090548A" w:rsidRPr="006E14AC" w14:paraId="5288C086" w14:textId="77777777" w:rsidTr="00965AEA">
        <w:tc>
          <w:tcPr>
            <w:tcW w:w="841" w:type="dxa"/>
          </w:tcPr>
          <w:p w14:paraId="22FAB48C"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2.47.</w:t>
            </w:r>
          </w:p>
        </w:tc>
        <w:tc>
          <w:tcPr>
            <w:tcW w:w="8220" w:type="dxa"/>
          </w:tcPr>
          <w:p w14:paraId="06ED23F2" w14:textId="530EB8DE"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ECC/DEC/(11)02 – ECC 2011. gada 11. marta Lēmums par rūpnieciskajiem līmeņa zondēšanas radariem (LPR), kas darbojas 6–8,5 GHz, 24,05–26,5 GHz, 57–64 GHz un 75–85 GHz frekvenču joslās (2019. gada 5. jūlija redakcijā)</w:t>
            </w:r>
          </w:p>
        </w:tc>
      </w:tr>
      <w:tr w:rsidR="0090548A" w:rsidRPr="006E14AC" w14:paraId="45A6949F" w14:textId="77777777" w:rsidTr="00965AEA">
        <w:tc>
          <w:tcPr>
            <w:tcW w:w="841" w:type="dxa"/>
          </w:tcPr>
          <w:p w14:paraId="634EA4B4"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2.48.</w:t>
            </w:r>
          </w:p>
        </w:tc>
        <w:tc>
          <w:tcPr>
            <w:tcW w:w="8220" w:type="dxa"/>
          </w:tcPr>
          <w:p w14:paraId="5B1166EE" w14:textId="0AE41B59"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ECC/DEC/(11)03 – ECC 2011. gada 24. jūnija Lēmums par frekvenču harmonizētu izmantošanu personālo sakaru (CB) radioiekārtām (2016. gada 17. jūnija redakcijā)</w:t>
            </w:r>
          </w:p>
        </w:tc>
      </w:tr>
      <w:tr w:rsidR="0090548A" w:rsidRPr="006E14AC" w14:paraId="6C6EF563" w14:textId="77777777" w:rsidTr="00965AEA">
        <w:tc>
          <w:tcPr>
            <w:tcW w:w="841" w:type="dxa"/>
          </w:tcPr>
          <w:p w14:paraId="22A081A3"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2.49.</w:t>
            </w:r>
          </w:p>
        </w:tc>
        <w:tc>
          <w:tcPr>
            <w:tcW w:w="8220" w:type="dxa"/>
          </w:tcPr>
          <w:p w14:paraId="029A16F2" w14:textId="422ADE55"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ECC/DEC/(11)06 – ECC 2011. gada 9. decembra Lēmums par harmonizētiem kanālu plāniem mobilo/fiksēto sakaru tīkliem (MFCN), kas darbojas 3400–3600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un 3600–3800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radiofrekvenču joslās (2018. gada 26. oktobra redakcijā)</w:t>
            </w:r>
          </w:p>
        </w:tc>
      </w:tr>
      <w:tr w:rsidR="0090548A" w:rsidRPr="006E14AC" w14:paraId="18EF7ECC" w14:textId="77777777" w:rsidTr="00965AEA">
        <w:tc>
          <w:tcPr>
            <w:tcW w:w="841" w:type="dxa"/>
          </w:tcPr>
          <w:p w14:paraId="77C8CF00"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2.50.</w:t>
            </w:r>
          </w:p>
        </w:tc>
        <w:tc>
          <w:tcPr>
            <w:tcW w:w="8220" w:type="dxa"/>
          </w:tcPr>
          <w:p w14:paraId="6DBA2377" w14:textId="287CFB8D"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ECC/DEC/(12)01 – ECC 2012. gada 1. jūnija Lēmums par satelītu mobilo galiekārtu, ko vada sakaru tīkli, atbrīvošanu no individuālajām atļaujām, brīvu apriti un lietošanu 1–3 GHz radiofrekvenču joslā (2022. gada 4. marta redakcijā)</w:t>
            </w:r>
          </w:p>
        </w:tc>
      </w:tr>
      <w:tr w:rsidR="0090548A" w:rsidRPr="006E14AC" w14:paraId="021416C2" w14:textId="77777777" w:rsidTr="00965AEA">
        <w:tc>
          <w:tcPr>
            <w:tcW w:w="841" w:type="dxa"/>
          </w:tcPr>
          <w:p w14:paraId="36E0279C"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2.51.</w:t>
            </w:r>
          </w:p>
        </w:tc>
        <w:tc>
          <w:tcPr>
            <w:tcW w:w="8220" w:type="dxa"/>
          </w:tcPr>
          <w:p w14:paraId="505C5ACC" w14:textId="24C2DC00"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ECC/DEC(12)03 – ECC 2012. gada 2. novembra Lēmums par harmonizētiem nosacījumiem UWB lietojumiem gaisa kuģos (2020. gada 6. marta redakcijā)</w:t>
            </w:r>
          </w:p>
        </w:tc>
      </w:tr>
      <w:tr w:rsidR="0090548A" w:rsidRPr="006E14AC" w14:paraId="6EA2ACE2" w14:textId="77777777" w:rsidTr="00965AEA">
        <w:tc>
          <w:tcPr>
            <w:tcW w:w="841" w:type="dxa"/>
          </w:tcPr>
          <w:p w14:paraId="57B9D15D"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2.52.</w:t>
            </w:r>
          </w:p>
        </w:tc>
        <w:tc>
          <w:tcPr>
            <w:tcW w:w="8220" w:type="dxa"/>
          </w:tcPr>
          <w:p w14:paraId="0EA1C22B" w14:textId="37860B0E"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ECC/DEC/(13)01 – ECC 2013. gada 8. marta Lēmums par Zemes staciju uz mobilām platformām (ESOMP) saskaņotu lietošanu, brīvu apriti un atbrīvošanu no individuālām atļaujām 17,3–20,2 GHz un 27,5–30,0 GHz radiofrekvenču joslās (2021. gada 2. jūlija redakcijā)</w:t>
            </w:r>
          </w:p>
        </w:tc>
      </w:tr>
      <w:tr w:rsidR="0090548A" w:rsidRPr="006E14AC" w14:paraId="38204437" w14:textId="77777777" w:rsidTr="00965AEA">
        <w:tc>
          <w:tcPr>
            <w:tcW w:w="841" w:type="dxa"/>
          </w:tcPr>
          <w:p w14:paraId="71CF3BF5"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2.53.</w:t>
            </w:r>
          </w:p>
        </w:tc>
        <w:tc>
          <w:tcPr>
            <w:tcW w:w="8220" w:type="dxa"/>
          </w:tcPr>
          <w:p w14:paraId="363C0889" w14:textId="5030B5E0"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ECC/DEC/(13)03 – ECC 2013. gada 8. novembra Lēmums par frekvenču joslas 1452–1492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harmonizētu izmantošanu mobilo/fiksēto sakaru tīkliem (MFCN) papildu </w:t>
            </w:r>
            <w:proofErr w:type="spellStart"/>
            <w:r w:rsidRPr="006E14AC">
              <w:rPr>
                <w:rFonts w:ascii="Times New Roman" w:eastAsia="Times New Roman" w:hAnsi="Times New Roman" w:cs="Times New Roman"/>
                <w:sz w:val="24"/>
                <w:szCs w:val="24"/>
                <w:lang w:eastAsia="lv-LV"/>
              </w:rPr>
              <w:t>lejuplīnijai</w:t>
            </w:r>
            <w:proofErr w:type="spellEnd"/>
            <w:r w:rsidRPr="006E14AC">
              <w:rPr>
                <w:rFonts w:ascii="Times New Roman" w:eastAsia="Times New Roman" w:hAnsi="Times New Roman" w:cs="Times New Roman"/>
                <w:sz w:val="24"/>
                <w:szCs w:val="24"/>
                <w:lang w:eastAsia="lv-LV"/>
              </w:rPr>
              <w:t xml:space="preserve"> (MFCN SDL) (2018. gada 2. marta redakcijā)</w:t>
            </w:r>
          </w:p>
        </w:tc>
      </w:tr>
      <w:tr w:rsidR="0090548A" w:rsidRPr="006E14AC" w14:paraId="366DFD0C" w14:textId="77777777" w:rsidTr="00965AEA">
        <w:tc>
          <w:tcPr>
            <w:tcW w:w="841" w:type="dxa"/>
          </w:tcPr>
          <w:p w14:paraId="48E5C0A8"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2.54.</w:t>
            </w:r>
          </w:p>
        </w:tc>
        <w:tc>
          <w:tcPr>
            <w:tcW w:w="8220" w:type="dxa"/>
          </w:tcPr>
          <w:p w14:paraId="311CBC3B" w14:textId="1A56D593"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ECC/DEC/(14)02 – ECC 2014. gada 27. jūnija Lēmums par harmonizētiem tehniskajiem un normatīvajiem nosacījumiem 2300–2400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joslas izmantošanai mobilo/fiksēto sakaru tīkliem (MFCN) (2023. gada 10. marta redakcijā)</w:t>
            </w:r>
          </w:p>
        </w:tc>
      </w:tr>
      <w:tr w:rsidR="0090548A" w:rsidRPr="006E14AC" w14:paraId="52FEED5C" w14:textId="77777777" w:rsidTr="00965AEA">
        <w:tc>
          <w:tcPr>
            <w:tcW w:w="841" w:type="dxa"/>
          </w:tcPr>
          <w:p w14:paraId="3491987E"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lastRenderedPageBreak/>
              <w:t>2.55.</w:t>
            </w:r>
          </w:p>
        </w:tc>
        <w:tc>
          <w:tcPr>
            <w:tcW w:w="8220" w:type="dxa"/>
          </w:tcPr>
          <w:p w14:paraId="5093D929" w14:textId="41A35CA9"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ECC/DEC/(15)01 – ECC 2015. gada 6. marta Lēmums par harmonizētiem tehniskajiem nosacījumiem mobilo/fiksēto sakaru tīkliem (MFCN) 694–790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joslā, ieskaitot radiofrekvenču sapāroto kanālu plānu (frekvenčdales duplekss 2 x 30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un izvēles radiofrekvenču nesapāroto kanālu plānu (papildu </w:t>
            </w:r>
            <w:proofErr w:type="spellStart"/>
            <w:r w:rsidRPr="006E14AC">
              <w:rPr>
                <w:rFonts w:ascii="Times New Roman" w:eastAsia="Times New Roman" w:hAnsi="Times New Roman" w:cs="Times New Roman"/>
                <w:sz w:val="24"/>
                <w:szCs w:val="24"/>
                <w:lang w:eastAsia="lv-LV"/>
              </w:rPr>
              <w:t>lejuplīnija</w:t>
            </w:r>
            <w:proofErr w:type="spellEnd"/>
            <w:r w:rsidRPr="006E14AC">
              <w:rPr>
                <w:rFonts w:ascii="Times New Roman" w:eastAsia="Times New Roman" w:hAnsi="Times New Roman" w:cs="Times New Roman"/>
                <w:sz w:val="24"/>
                <w:szCs w:val="24"/>
                <w:lang w:eastAsia="lv-LV"/>
              </w:rPr>
              <w:t>)</w:t>
            </w:r>
          </w:p>
        </w:tc>
      </w:tr>
      <w:tr w:rsidR="0090548A" w:rsidRPr="006E14AC" w14:paraId="4679639E" w14:textId="77777777" w:rsidTr="00965AEA">
        <w:tc>
          <w:tcPr>
            <w:tcW w:w="841" w:type="dxa"/>
          </w:tcPr>
          <w:p w14:paraId="18E4B8BE"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2.56.</w:t>
            </w:r>
          </w:p>
        </w:tc>
        <w:tc>
          <w:tcPr>
            <w:tcW w:w="8220" w:type="dxa"/>
          </w:tcPr>
          <w:p w14:paraId="19900E18" w14:textId="3478FFF0"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ECC/DEC/(15)04 – ECC 2015. gada 3. jūlija Lēmums par sauszemes, jūras un gaisa kuģniecības Zemes staciju uz mobilām platformām (ESOMP) darbību ar NGSO FSS satelītu sistēmām 17,3–20,2 GHz, 27,5–29,1 GHz un 29,5–30,0 GHz radiofrekvenču joslās (2020. gada 20. novembra redakcijā)</w:t>
            </w:r>
          </w:p>
        </w:tc>
      </w:tr>
      <w:tr w:rsidR="0090548A" w:rsidRPr="006E14AC" w14:paraId="11232A6F" w14:textId="77777777" w:rsidTr="00965AEA">
        <w:tc>
          <w:tcPr>
            <w:tcW w:w="841" w:type="dxa"/>
          </w:tcPr>
          <w:p w14:paraId="39EF8761"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2.57.</w:t>
            </w:r>
          </w:p>
        </w:tc>
        <w:tc>
          <w:tcPr>
            <w:tcW w:w="8220" w:type="dxa"/>
          </w:tcPr>
          <w:p w14:paraId="35296C0E" w14:textId="4AFD8436"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ECC/DEC/(15)05 – ECC 2015. gada 3. jūlija Lēmums "Harmonizētais frekvenču diapazons 446,0–446,2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tehniskie parametri, atbrīvojums no individuālām atļaujām un brīva pārvietošana, kā arī analogo un digitālo PMR 446 lietojumu izmantošana" (2018. gada 2. marta redakcijā)</w:t>
            </w:r>
          </w:p>
        </w:tc>
      </w:tr>
      <w:tr w:rsidR="0090548A" w:rsidRPr="006E14AC" w14:paraId="2BFA8211" w14:textId="77777777" w:rsidTr="00965AEA">
        <w:tc>
          <w:tcPr>
            <w:tcW w:w="841" w:type="dxa"/>
          </w:tcPr>
          <w:p w14:paraId="0D1F9388"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2.58.</w:t>
            </w:r>
          </w:p>
        </w:tc>
        <w:tc>
          <w:tcPr>
            <w:tcW w:w="8220" w:type="dxa"/>
          </w:tcPr>
          <w:p w14:paraId="0F6B8C85" w14:textId="20FF5CE0"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ECC/DEC/(16)01 – ECC 2016. gada 4. marta Lēmums par 76–77 GHz harmonizēto frekvenču joslu, tehniskajiem parametriem, atbrīvošanu no individuālajām atļaujām, brīvu apriti un lietošanu šķēršļu noteikšanas radariem helikopteros (</w:t>
            </w:r>
            <w:proofErr w:type="spellStart"/>
            <w:r w:rsidRPr="006E14AC">
              <w:rPr>
                <w:rFonts w:ascii="Times New Roman" w:eastAsia="Times New Roman" w:hAnsi="Times New Roman" w:cs="Times New Roman"/>
                <w:sz w:val="24"/>
                <w:szCs w:val="24"/>
                <w:lang w:eastAsia="lv-LV"/>
              </w:rPr>
              <w:t>rotorplānos</w:t>
            </w:r>
            <w:proofErr w:type="spellEnd"/>
            <w:r w:rsidRPr="006E14AC">
              <w:rPr>
                <w:rFonts w:ascii="Times New Roman" w:eastAsia="Times New Roman" w:hAnsi="Times New Roman" w:cs="Times New Roman"/>
                <w:sz w:val="24"/>
                <w:szCs w:val="24"/>
                <w:lang w:eastAsia="lv-LV"/>
              </w:rPr>
              <w:t>) (2016. gada 18. novembra redakcijā)</w:t>
            </w:r>
          </w:p>
        </w:tc>
      </w:tr>
      <w:tr w:rsidR="0090548A" w:rsidRPr="006E14AC" w14:paraId="52A7241F" w14:textId="77777777" w:rsidTr="00965AEA">
        <w:tc>
          <w:tcPr>
            <w:tcW w:w="841" w:type="dxa"/>
          </w:tcPr>
          <w:p w14:paraId="445C7F0C"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2.59.</w:t>
            </w:r>
          </w:p>
        </w:tc>
        <w:tc>
          <w:tcPr>
            <w:tcW w:w="8220" w:type="dxa"/>
          </w:tcPr>
          <w:p w14:paraId="2B82C408" w14:textId="66C4F37A"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ECC/DEC/(16)02 – ECC 2016. gada 17. jūnija Lēmums par harmonizētiem tehniskajiem nosacījumiem un frekvenču joslām Platjoslas sabiedrības drošības un katastrofu seku novēršanas (BB-PPDR) sistēmām (2019. gada 8. marta redakcijā)</w:t>
            </w:r>
          </w:p>
        </w:tc>
      </w:tr>
      <w:tr w:rsidR="0090548A" w:rsidRPr="006E14AC" w14:paraId="039409F4" w14:textId="77777777" w:rsidTr="00965AEA">
        <w:tc>
          <w:tcPr>
            <w:tcW w:w="841" w:type="dxa"/>
          </w:tcPr>
          <w:p w14:paraId="7121A275"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2.60.</w:t>
            </w:r>
          </w:p>
        </w:tc>
        <w:tc>
          <w:tcPr>
            <w:tcW w:w="8220" w:type="dxa"/>
          </w:tcPr>
          <w:p w14:paraId="3262639B" w14:textId="403D64FF"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ECC/DEC/(17)04 – ECC 2017. gada 30. jūnija Lēmums par fiksēto Zemes staciju, kas darbojas NGSO FSS satelītu sistēmās 10,7–12,75 GHz un 14,0–14,50 GHz radiofrekvenču joslās, saskaņotu lietošanu un atbrīvošanu no individuālajām atļaujām (</w:t>
            </w:r>
            <w:r>
              <w:rPr>
                <w:rFonts w:ascii="Times New Roman" w:eastAsia="Times New Roman" w:hAnsi="Times New Roman" w:cs="Times New Roman"/>
                <w:sz w:val="24"/>
                <w:szCs w:val="24"/>
                <w:lang w:eastAsia="lv-LV"/>
              </w:rPr>
              <w:t>2022</w:t>
            </w:r>
            <w:r w:rsidRPr="006E14AC">
              <w:rPr>
                <w:rFonts w:ascii="Times New Roman" w:eastAsia="Times New Roman" w:hAnsi="Times New Roman" w:cs="Times New Roman"/>
                <w:sz w:val="24"/>
                <w:szCs w:val="24"/>
                <w:lang w:eastAsia="lv-LV"/>
              </w:rPr>
              <w:t xml:space="preserve">. gada </w:t>
            </w:r>
            <w:r>
              <w:rPr>
                <w:rFonts w:ascii="Times New Roman" w:eastAsia="Times New Roman" w:hAnsi="Times New Roman" w:cs="Times New Roman"/>
                <w:sz w:val="24"/>
                <w:szCs w:val="24"/>
                <w:lang w:eastAsia="lv-LV"/>
              </w:rPr>
              <w:t>18</w:t>
            </w:r>
            <w:r w:rsidRPr="006E14AC">
              <w:rPr>
                <w:rFonts w:ascii="Times New Roman" w:eastAsia="Times New Roman" w:hAnsi="Times New Roman" w:cs="Times New Roman"/>
                <w:sz w:val="24"/>
                <w:szCs w:val="24"/>
                <w:lang w:eastAsia="lv-LV"/>
              </w:rPr>
              <w:t>. novembra redakcijā)</w:t>
            </w:r>
          </w:p>
        </w:tc>
      </w:tr>
      <w:tr w:rsidR="0090548A" w:rsidRPr="006E14AC" w14:paraId="54542019" w14:textId="77777777" w:rsidTr="00965AEA">
        <w:tc>
          <w:tcPr>
            <w:tcW w:w="841" w:type="dxa"/>
          </w:tcPr>
          <w:p w14:paraId="614E848B"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2.61.</w:t>
            </w:r>
          </w:p>
        </w:tc>
        <w:tc>
          <w:tcPr>
            <w:tcW w:w="8220" w:type="dxa"/>
          </w:tcPr>
          <w:p w14:paraId="1C3FBD76" w14:textId="66FAE2FF"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ECC/DEC/(17)06 – ECC 2017. gada 17. novembra Lēmums par frekvenču joslu 1427–1452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un 1492–1518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harmonizētu izmantošanu mobilo/fiksēto sakaru tīkliem (MFCN) papildu </w:t>
            </w:r>
            <w:proofErr w:type="spellStart"/>
            <w:r w:rsidRPr="006E14AC">
              <w:rPr>
                <w:rFonts w:ascii="Times New Roman" w:eastAsia="Times New Roman" w:hAnsi="Times New Roman" w:cs="Times New Roman"/>
                <w:sz w:val="24"/>
                <w:szCs w:val="24"/>
                <w:lang w:eastAsia="lv-LV"/>
              </w:rPr>
              <w:t>lejuplīnijai</w:t>
            </w:r>
            <w:proofErr w:type="spellEnd"/>
            <w:r w:rsidRPr="006E14AC">
              <w:rPr>
                <w:rFonts w:ascii="Times New Roman" w:eastAsia="Times New Roman" w:hAnsi="Times New Roman" w:cs="Times New Roman"/>
                <w:sz w:val="24"/>
                <w:szCs w:val="24"/>
                <w:lang w:eastAsia="lv-LV"/>
              </w:rPr>
              <w:t xml:space="preserve"> (MFCN SDL) (2018. gada 2. marta redakcijā)</w:t>
            </w:r>
          </w:p>
        </w:tc>
      </w:tr>
      <w:tr w:rsidR="0090548A" w:rsidRPr="006E14AC" w14:paraId="2FC8FC7D" w14:textId="77777777" w:rsidTr="00965AEA">
        <w:tc>
          <w:tcPr>
            <w:tcW w:w="841" w:type="dxa"/>
          </w:tcPr>
          <w:p w14:paraId="3A603CD1"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2.62.</w:t>
            </w:r>
          </w:p>
        </w:tc>
        <w:tc>
          <w:tcPr>
            <w:tcW w:w="8220" w:type="dxa"/>
          </w:tcPr>
          <w:p w14:paraId="190A00AF" w14:textId="72372792"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ECC/DEC/(18)04 – ECC 2018. gada 6. jūlija Lēmums par sauszemes kustībā esošu Zemes staciju (ESIM) saskaņotu lietošanu, atbrīvošanu no individuālām atļaujām, brīvu apriti un lietošanu frekvenču joslās 10,7–12,75 GHz un 14,0–14,5 GHz</w:t>
            </w:r>
            <w:r>
              <w:rPr>
                <w:rFonts w:ascii="Times New Roman" w:eastAsia="Times New Roman" w:hAnsi="Times New Roman" w:cs="Times New Roman"/>
                <w:sz w:val="24"/>
                <w:szCs w:val="24"/>
                <w:lang w:eastAsia="lv-LV"/>
              </w:rPr>
              <w:t xml:space="preserve"> </w:t>
            </w:r>
            <w:r w:rsidRPr="00555F17">
              <w:rPr>
                <w:rFonts w:ascii="Times New Roman" w:eastAsia="Times New Roman" w:hAnsi="Times New Roman" w:cs="Times New Roman"/>
                <w:sz w:val="24"/>
                <w:szCs w:val="24"/>
                <w:lang w:eastAsia="lv-LV"/>
              </w:rPr>
              <w:t>(2022. gada 18. novembra redakcijā)</w:t>
            </w:r>
          </w:p>
        </w:tc>
      </w:tr>
      <w:tr w:rsidR="0090548A" w:rsidRPr="006E14AC" w14:paraId="636B8E9F" w14:textId="77777777" w:rsidTr="00965AEA">
        <w:tc>
          <w:tcPr>
            <w:tcW w:w="841" w:type="dxa"/>
          </w:tcPr>
          <w:p w14:paraId="4C8B02C1"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2.63.</w:t>
            </w:r>
          </w:p>
        </w:tc>
        <w:tc>
          <w:tcPr>
            <w:tcW w:w="8220" w:type="dxa"/>
          </w:tcPr>
          <w:p w14:paraId="0BF57A90" w14:textId="29F07136"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ECC/DEC/(18)05 – ECC 2018. gada 6. jūlija Lēmums par kustībā esošu Zemes staciju (ESIM) saskaņotu lietošanu, atbrīvošanu no individuālām atļaujām, brīvu apriti un lietošanu frekvenču joslās 10,7–12,75 GHz un 14,0–14,5 GHz (2021. gada 5. novembra redakcijā)</w:t>
            </w:r>
            <w:r>
              <w:rPr>
                <w:rFonts w:ascii="Times New Roman" w:eastAsia="Times New Roman" w:hAnsi="Times New Roman" w:cs="Times New Roman"/>
                <w:sz w:val="24"/>
                <w:szCs w:val="24"/>
                <w:lang w:eastAsia="lv-LV"/>
              </w:rPr>
              <w:t xml:space="preserve"> </w:t>
            </w:r>
            <w:r w:rsidRPr="00AF63C4">
              <w:rPr>
                <w:rFonts w:ascii="Times New Roman" w:eastAsia="Times New Roman" w:hAnsi="Times New Roman" w:cs="Times New Roman"/>
                <w:sz w:val="24"/>
                <w:szCs w:val="24"/>
                <w:lang w:eastAsia="lv-LV"/>
              </w:rPr>
              <w:t>(2022. gada 18. novembra redakcijā)</w:t>
            </w:r>
          </w:p>
        </w:tc>
      </w:tr>
      <w:tr w:rsidR="0090548A" w:rsidRPr="006E14AC" w14:paraId="25805E56" w14:textId="77777777" w:rsidTr="00965AEA">
        <w:tc>
          <w:tcPr>
            <w:tcW w:w="841" w:type="dxa"/>
          </w:tcPr>
          <w:p w14:paraId="304B5F53"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2.64.</w:t>
            </w:r>
          </w:p>
        </w:tc>
        <w:tc>
          <w:tcPr>
            <w:tcW w:w="8220" w:type="dxa"/>
          </w:tcPr>
          <w:p w14:paraId="5694CCC4" w14:textId="63023C8A"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ECC/DEC/(18)06 – ECC 2018. gada 6. jūlija Lēmums par harmonizētiem </w:t>
            </w:r>
            <w:r w:rsidRPr="006E14AC">
              <w:rPr>
                <w:rFonts w:ascii="Times New Roman" w:eastAsia="Times New Roman" w:hAnsi="Times New Roman" w:cs="Times New Roman"/>
                <w:spacing w:val="-2"/>
                <w:sz w:val="24"/>
                <w:szCs w:val="24"/>
                <w:lang w:eastAsia="lv-LV"/>
              </w:rPr>
              <w:t>tehniskajiem nosacījumiem mobilo/fiksēto sakaru tīkliem (MFCN) 24,25–27,5 GHz</w:t>
            </w:r>
            <w:r w:rsidRPr="006E14AC">
              <w:rPr>
                <w:rFonts w:ascii="Times New Roman" w:eastAsia="Times New Roman" w:hAnsi="Times New Roman" w:cs="Times New Roman"/>
                <w:sz w:val="24"/>
                <w:szCs w:val="24"/>
                <w:lang w:eastAsia="lv-LV"/>
              </w:rPr>
              <w:t xml:space="preserve"> joslā (2020. gada 20. novembra redakcijā)</w:t>
            </w:r>
          </w:p>
        </w:tc>
      </w:tr>
      <w:tr w:rsidR="0090548A" w:rsidRPr="006E14AC" w14:paraId="092755F6" w14:textId="77777777" w:rsidTr="00965AEA">
        <w:tc>
          <w:tcPr>
            <w:tcW w:w="841" w:type="dxa"/>
          </w:tcPr>
          <w:p w14:paraId="48AFC8A2"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2.65.</w:t>
            </w:r>
          </w:p>
        </w:tc>
        <w:tc>
          <w:tcPr>
            <w:tcW w:w="8220" w:type="dxa"/>
          </w:tcPr>
          <w:p w14:paraId="1AB0BBF5" w14:textId="5B865D24"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ECC/DEC/(19)02–ECC 2019. gada 8. marta Lēmums par sauszemes mobilajām sistēmām frekvenču diapazonos 68–87,5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146–174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406,1–410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410–430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440–450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un 450–470 </w:t>
            </w:r>
            <w:proofErr w:type="spellStart"/>
            <w:r w:rsidRPr="006E14AC">
              <w:rPr>
                <w:rFonts w:ascii="Times New Roman" w:eastAsia="Times New Roman" w:hAnsi="Times New Roman" w:cs="Times New Roman"/>
                <w:sz w:val="24"/>
                <w:szCs w:val="24"/>
                <w:lang w:eastAsia="lv-LV"/>
              </w:rPr>
              <w:t>MHz</w:t>
            </w:r>
            <w:proofErr w:type="spellEnd"/>
          </w:p>
        </w:tc>
      </w:tr>
      <w:tr w:rsidR="0090548A" w:rsidRPr="006E14AC" w14:paraId="2B385979" w14:textId="77777777" w:rsidTr="00965AEA">
        <w:tc>
          <w:tcPr>
            <w:tcW w:w="841" w:type="dxa"/>
          </w:tcPr>
          <w:p w14:paraId="45197B6F"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2.66.</w:t>
            </w:r>
          </w:p>
        </w:tc>
        <w:tc>
          <w:tcPr>
            <w:tcW w:w="8220" w:type="dxa"/>
          </w:tcPr>
          <w:p w14:paraId="7DA12C95" w14:textId="60904E4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ECC/DEC/(19)03 – ECC 2019. gada 8. marta Lēmums par ITU Radionoteikumu 18. pielikuma kanālu (raidošās radiofrekvences jūras mobilajā VHF joslā) harmonizētu izmantošanu</w:t>
            </w:r>
          </w:p>
        </w:tc>
      </w:tr>
      <w:tr w:rsidR="0090548A" w:rsidRPr="006E14AC" w14:paraId="5FBCD7E3" w14:textId="77777777" w:rsidTr="00965AEA">
        <w:tc>
          <w:tcPr>
            <w:tcW w:w="841" w:type="dxa"/>
          </w:tcPr>
          <w:p w14:paraId="2BCD4ED9"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lastRenderedPageBreak/>
              <w:t>2.67.</w:t>
            </w:r>
          </w:p>
        </w:tc>
        <w:tc>
          <w:tcPr>
            <w:tcW w:w="8220" w:type="dxa"/>
          </w:tcPr>
          <w:p w14:paraId="7E56B724" w14:textId="4CB0042C"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ECC/DEC/(20)01 – ECC 2020. gada 20. novembra Lēmums par frekvenču joslas 5945–6425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harmonizētu izmantošanu bezvadu piekļuves sistēmām, ieskaitot lokālos tīklus (WAS/RLAN)</w:t>
            </w:r>
          </w:p>
        </w:tc>
      </w:tr>
      <w:tr w:rsidR="0090548A" w:rsidRPr="006E14AC" w14:paraId="7C51302F" w14:textId="77777777" w:rsidTr="00965AEA">
        <w:tc>
          <w:tcPr>
            <w:tcW w:w="841" w:type="dxa"/>
          </w:tcPr>
          <w:p w14:paraId="6AB30A63"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2.68.</w:t>
            </w:r>
          </w:p>
        </w:tc>
        <w:tc>
          <w:tcPr>
            <w:tcW w:w="8220" w:type="dxa"/>
          </w:tcPr>
          <w:p w14:paraId="71A25985" w14:textId="6CDB32EE"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ECC/DEC/(20)02 – ECC 2020. gada 20. novembra Lēmums par 874,4–880,0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un 919,4–925,0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sapāroto frekvenču joslu un 1900–1910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nesapārotās frekvenču joslas harmonizētu izmantošanu dzelzceļu sakaru sistēmām (RMR) (2022. gada 10. jūnija redakcijā)</w:t>
            </w:r>
          </w:p>
        </w:tc>
      </w:tr>
    </w:tbl>
    <w:p w14:paraId="46C2E974" w14:textId="77777777" w:rsidR="00B831C6" w:rsidRPr="006E14AC" w:rsidRDefault="008E0D70" w:rsidP="00965AEA">
      <w:pPr>
        <w:spacing w:before="100" w:beforeAutospacing="1" w:after="100" w:afterAutospacing="1" w:line="240" w:lineRule="auto"/>
        <w:rPr>
          <w:rFonts w:ascii="Times New Roman" w:eastAsia="Times New Roman" w:hAnsi="Times New Roman" w:cs="Times New Roman"/>
          <w:b/>
          <w:bCs/>
          <w:sz w:val="24"/>
          <w:szCs w:val="24"/>
          <w:lang w:eastAsia="lv-LV"/>
        </w:rPr>
      </w:pPr>
      <w:r w:rsidRPr="006E14AC">
        <w:rPr>
          <w:rFonts w:ascii="Times New Roman" w:eastAsia="Times New Roman" w:hAnsi="Times New Roman" w:cs="Times New Roman"/>
          <w:b/>
          <w:bCs/>
          <w:sz w:val="24"/>
          <w:szCs w:val="24"/>
          <w:lang w:eastAsia="lv-LV"/>
        </w:rPr>
        <w:t xml:space="preserve">3. </w:t>
      </w:r>
      <w:r w:rsidR="00961D9C" w:rsidRPr="006E14AC">
        <w:rPr>
          <w:rFonts w:ascii="Times New Roman" w:eastAsia="Times New Roman" w:hAnsi="Times New Roman" w:cs="Times New Roman"/>
          <w:b/>
          <w:bCs/>
          <w:sz w:val="24"/>
          <w:szCs w:val="24"/>
          <w:lang w:eastAsia="lv-LV"/>
        </w:rPr>
        <w:t xml:space="preserve">CEPT </w:t>
      </w:r>
      <w:r w:rsidR="00B831C6" w:rsidRPr="006E14AC">
        <w:rPr>
          <w:rFonts w:ascii="Times New Roman" w:eastAsia="Times New Roman" w:hAnsi="Times New Roman" w:cs="Times New Roman"/>
          <w:b/>
          <w:bCs/>
          <w:sz w:val="24"/>
          <w:szCs w:val="24"/>
          <w:lang w:eastAsia="lv-LV"/>
        </w:rPr>
        <w:t>ECC (ERC) rekomendācija vai ziņojums</w:t>
      </w:r>
    </w:p>
    <w:tbl>
      <w:tblPr>
        <w:tblStyle w:val="TableGrid"/>
        <w:tblW w:w="0" w:type="auto"/>
        <w:tblLook w:val="04A0" w:firstRow="1" w:lastRow="0" w:firstColumn="1" w:lastColumn="0" w:noHBand="0" w:noVBand="1"/>
      </w:tblPr>
      <w:tblGrid>
        <w:gridCol w:w="846"/>
        <w:gridCol w:w="8215"/>
      </w:tblGrid>
      <w:tr w:rsidR="006E14AC" w:rsidRPr="006E14AC" w14:paraId="5E70DCD8" w14:textId="77777777" w:rsidTr="00965AEA">
        <w:tc>
          <w:tcPr>
            <w:tcW w:w="846" w:type="dxa"/>
            <w:vAlign w:val="center"/>
          </w:tcPr>
          <w:p w14:paraId="3E82EAA5" w14:textId="77777777" w:rsidR="00CB699B" w:rsidRPr="006E14AC" w:rsidRDefault="001F5866" w:rsidP="00965AEA">
            <w:pPr>
              <w:spacing w:after="120" w:line="315" w:lineRule="atLeast"/>
              <w:jc w:val="center"/>
              <w:rPr>
                <w:rFonts w:ascii="Times New Roman" w:eastAsia="Times New Roman" w:hAnsi="Times New Roman" w:cs="Times New Roman"/>
                <w:sz w:val="24"/>
                <w:szCs w:val="24"/>
                <w:lang w:eastAsia="lv-LV"/>
              </w:rPr>
            </w:pPr>
            <w:r w:rsidRPr="006E14AC">
              <w:rPr>
                <w:rFonts w:ascii="Times New Roman" w:hAnsi="Times New Roman" w:cs="Times New Roman"/>
                <w:sz w:val="24"/>
                <w:szCs w:val="24"/>
              </w:rPr>
              <w:t>Nr. </w:t>
            </w:r>
            <w:r w:rsidRPr="006E14AC">
              <w:rPr>
                <w:rFonts w:ascii="Times New Roman" w:hAnsi="Times New Roman" w:cs="Times New Roman"/>
                <w:sz w:val="24"/>
                <w:szCs w:val="24"/>
              </w:rPr>
              <w:br/>
              <w:t>p. k.</w:t>
            </w:r>
          </w:p>
        </w:tc>
        <w:tc>
          <w:tcPr>
            <w:tcW w:w="8215" w:type="dxa"/>
            <w:vAlign w:val="center"/>
          </w:tcPr>
          <w:p w14:paraId="3F709E2C" w14:textId="77777777" w:rsidR="00CB699B" w:rsidRPr="006E14AC" w:rsidRDefault="006568C5" w:rsidP="00582F1F">
            <w:pPr>
              <w:spacing w:after="120" w:line="315" w:lineRule="atLeast"/>
              <w:jc w:val="center"/>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Nosaukums</w:t>
            </w:r>
          </w:p>
        </w:tc>
      </w:tr>
      <w:tr w:rsidR="006E14AC" w:rsidRPr="006E14AC" w14:paraId="7AE0484E" w14:textId="77777777" w:rsidTr="00A52938">
        <w:tc>
          <w:tcPr>
            <w:tcW w:w="846" w:type="dxa"/>
          </w:tcPr>
          <w:p w14:paraId="2AD522A9"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3.1.</w:t>
            </w:r>
          </w:p>
        </w:tc>
        <w:tc>
          <w:tcPr>
            <w:tcW w:w="8215" w:type="dxa"/>
          </w:tcPr>
          <w:p w14:paraId="4D9F7F37" w14:textId="4EFD508A"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T/R 12-01 – Harmonizēts radiofrekvenču kanālu plānojums zemes analogajām un ciparu fiksētajām sistēmām, kas izmanto 37</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0</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39,5 GHz joslu (2019</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29</w:t>
            </w:r>
            <w:r w:rsidR="004A6E54" w:rsidRPr="006E14AC">
              <w:rPr>
                <w:rFonts w:ascii="Times New Roman" w:eastAsia="Times New Roman" w:hAnsi="Times New Roman" w:cs="Times New Roman"/>
                <w:sz w:val="24"/>
                <w:szCs w:val="24"/>
                <w:lang w:eastAsia="lv-LV"/>
              </w:rPr>
              <w:t xml:space="preserve">. maija </w:t>
            </w:r>
            <w:r w:rsidRPr="006E14AC">
              <w:rPr>
                <w:rFonts w:ascii="Times New Roman" w:eastAsia="Times New Roman" w:hAnsi="Times New Roman" w:cs="Times New Roman"/>
                <w:sz w:val="24"/>
                <w:szCs w:val="24"/>
                <w:lang w:eastAsia="lv-LV"/>
              </w:rPr>
              <w:t>redakcijā)</w:t>
            </w:r>
          </w:p>
        </w:tc>
      </w:tr>
      <w:tr w:rsidR="006E14AC" w:rsidRPr="006E14AC" w14:paraId="0F4695F2" w14:textId="77777777" w:rsidTr="00A52938">
        <w:tc>
          <w:tcPr>
            <w:tcW w:w="846" w:type="dxa"/>
          </w:tcPr>
          <w:p w14:paraId="0942C4B0"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3.2.</w:t>
            </w:r>
          </w:p>
        </w:tc>
        <w:tc>
          <w:tcPr>
            <w:tcW w:w="8215" w:type="dxa"/>
          </w:tcPr>
          <w:p w14:paraId="61803A39" w14:textId="4F8F5F70"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T/R 13-01 – Ieteicamais kanālu plānojums fiksētā dienesta sistēmām, kas darbojas 1–2,3 GHz radiofrekvenču joslā (2010</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5</w:t>
            </w:r>
            <w:r w:rsidR="004A6E54" w:rsidRPr="006E14AC">
              <w:rPr>
                <w:rFonts w:ascii="Times New Roman" w:eastAsia="Times New Roman" w:hAnsi="Times New Roman" w:cs="Times New Roman"/>
                <w:sz w:val="24"/>
                <w:szCs w:val="24"/>
                <w:lang w:eastAsia="lv-LV"/>
              </w:rPr>
              <w:t xml:space="preserve">. februāra </w:t>
            </w:r>
            <w:r w:rsidRPr="006E14AC">
              <w:rPr>
                <w:rFonts w:ascii="Times New Roman" w:eastAsia="Times New Roman" w:hAnsi="Times New Roman" w:cs="Times New Roman"/>
                <w:sz w:val="24"/>
                <w:szCs w:val="24"/>
                <w:lang w:eastAsia="lv-LV"/>
              </w:rPr>
              <w:t>redakcijā)</w:t>
            </w:r>
          </w:p>
        </w:tc>
      </w:tr>
      <w:tr w:rsidR="006E14AC" w:rsidRPr="006E14AC" w14:paraId="5A76314B" w14:textId="77777777" w:rsidTr="00A52938">
        <w:tc>
          <w:tcPr>
            <w:tcW w:w="846" w:type="dxa"/>
          </w:tcPr>
          <w:p w14:paraId="21F31459"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3.3.</w:t>
            </w:r>
          </w:p>
        </w:tc>
        <w:tc>
          <w:tcPr>
            <w:tcW w:w="8215" w:type="dxa"/>
          </w:tcPr>
          <w:p w14:paraId="05604CFD" w14:textId="0BE4E8BE"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T/R 13-02 </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Ieteicamais kanālu plānojums fiksētajam dienestam 22,0–29,5 GHz joslā (2019</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29</w:t>
            </w:r>
            <w:r w:rsidR="004A6E54" w:rsidRPr="006E14AC">
              <w:rPr>
                <w:rFonts w:ascii="Times New Roman" w:eastAsia="Times New Roman" w:hAnsi="Times New Roman" w:cs="Times New Roman"/>
                <w:sz w:val="24"/>
                <w:szCs w:val="24"/>
                <w:lang w:eastAsia="lv-LV"/>
              </w:rPr>
              <w:t xml:space="preserve">. maija </w:t>
            </w:r>
            <w:r w:rsidRPr="006E14AC">
              <w:rPr>
                <w:rFonts w:ascii="Times New Roman" w:eastAsia="Times New Roman" w:hAnsi="Times New Roman" w:cs="Times New Roman"/>
                <w:sz w:val="24"/>
                <w:szCs w:val="24"/>
                <w:lang w:eastAsia="lv-LV"/>
              </w:rPr>
              <w:t>redakcijā)</w:t>
            </w:r>
          </w:p>
        </w:tc>
      </w:tr>
      <w:tr w:rsidR="006E14AC" w:rsidRPr="006E14AC" w14:paraId="03B8DCA4" w14:textId="77777777" w:rsidTr="00A52938">
        <w:tc>
          <w:tcPr>
            <w:tcW w:w="846" w:type="dxa"/>
          </w:tcPr>
          <w:p w14:paraId="034DEA9C"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3.4.</w:t>
            </w:r>
          </w:p>
        </w:tc>
        <w:tc>
          <w:tcPr>
            <w:tcW w:w="8215" w:type="dxa"/>
          </w:tcPr>
          <w:p w14:paraId="5F2E0669" w14:textId="4E031A13"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T/R 25-08 – Sauszemes mobilā dienesta radiofrekvenču plānošana un koordinācija 29,7–470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joslā (2018</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28</w:t>
            </w:r>
            <w:r w:rsidR="004A6E54" w:rsidRPr="006E14AC">
              <w:rPr>
                <w:rFonts w:ascii="Times New Roman" w:eastAsia="Times New Roman" w:hAnsi="Times New Roman" w:cs="Times New Roman"/>
                <w:sz w:val="24"/>
                <w:szCs w:val="24"/>
                <w:lang w:eastAsia="lv-LV"/>
              </w:rPr>
              <w:t xml:space="preserve">. septembra </w:t>
            </w:r>
            <w:r w:rsidRPr="006E14AC">
              <w:rPr>
                <w:rFonts w:ascii="Times New Roman" w:eastAsia="Times New Roman" w:hAnsi="Times New Roman" w:cs="Times New Roman"/>
                <w:sz w:val="24"/>
                <w:szCs w:val="24"/>
                <w:lang w:eastAsia="lv-LV"/>
              </w:rPr>
              <w:t>redakcijā)</w:t>
            </w:r>
          </w:p>
        </w:tc>
      </w:tr>
      <w:tr w:rsidR="006E14AC" w:rsidRPr="006E14AC" w14:paraId="161DFEAB" w14:textId="77777777" w:rsidTr="00A52938">
        <w:tc>
          <w:tcPr>
            <w:tcW w:w="846" w:type="dxa"/>
          </w:tcPr>
          <w:p w14:paraId="65F538AC"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3.5.</w:t>
            </w:r>
          </w:p>
        </w:tc>
        <w:tc>
          <w:tcPr>
            <w:tcW w:w="8215" w:type="dxa"/>
          </w:tcPr>
          <w:p w14:paraId="0B8C0810" w14:textId="30A1BA89" w:rsidR="00CB699B" w:rsidRPr="00AF63C4" w:rsidRDefault="00076A2D">
            <w:pPr>
              <w:spacing w:after="120" w:line="240" w:lineRule="auto"/>
              <w:rPr>
                <w:rFonts w:ascii="Times New Roman" w:eastAsia="Times New Roman" w:hAnsi="Times New Roman" w:cs="Times New Roman"/>
                <w:sz w:val="24"/>
                <w:szCs w:val="24"/>
                <w:lang w:eastAsia="lv-LV"/>
              </w:rPr>
            </w:pPr>
            <w:r w:rsidRPr="00AF63C4">
              <w:rPr>
                <w:rFonts w:ascii="Times New Roman" w:eastAsia="Times New Roman" w:hAnsi="Times New Roman" w:cs="Times New Roman"/>
                <w:sz w:val="24"/>
                <w:szCs w:val="24"/>
                <w:lang w:eastAsia="lv-LV"/>
              </w:rPr>
              <w:t>T/R 61-01 – CEPT radioamatieru atļauja (</w:t>
            </w:r>
            <w:r w:rsidR="004B307F" w:rsidRPr="00AF63C4">
              <w:rPr>
                <w:rFonts w:ascii="Times New Roman" w:eastAsia="Times New Roman" w:hAnsi="Times New Roman" w:cs="Times New Roman"/>
                <w:sz w:val="24"/>
                <w:szCs w:val="24"/>
                <w:lang w:eastAsia="lv-LV"/>
              </w:rPr>
              <w:t>202</w:t>
            </w:r>
            <w:r w:rsidR="00974A9B" w:rsidRPr="00555F17">
              <w:rPr>
                <w:rFonts w:ascii="Times New Roman" w:eastAsia="Times New Roman" w:hAnsi="Times New Roman" w:cs="Times New Roman"/>
                <w:sz w:val="24"/>
                <w:szCs w:val="24"/>
                <w:lang w:eastAsia="lv-LV"/>
              </w:rPr>
              <w:t>4</w:t>
            </w:r>
            <w:r w:rsidR="004A6E54" w:rsidRPr="00AF63C4">
              <w:rPr>
                <w:rFonts w:ascii="Times New Roman" w:eastAsia="Times New Roman" w:hAnsi="Times New Roman" w:cs="Times New Roman"/>
                <w:sz w:val="24"/>
                <w:szCs w:val="24"/>
                <w:lang w:eastAsia="lv-LV"/>
              </w:rPr>
              <w:t xml:space="preserve">. gada </w:t>
            </w:r>
            <w:r w:rsidR="00974A9B" w:rsidRPr="00555F17">
              <w:rPr>
                <w:rFonts w:ascii="Times New Roman" w:eastAsia="Times New Roman" w:hAnsi="Times New Roman" w:cs="Times New Roman"/>
                <w:sz w:val="24"/>
                <w:szCs w:val="24"/>
                <w:lang w:eastAsia="lv-LV"/>
              </w:rPr>
              <w:t>16</w:t>
            </w:r>
            <w:r w:rsidR="004A6E54" w:rsidRPr="00AF63C4">
              <w:rPr>
                <w:rFonts w:ascii="Times New Roman" w:eastAsia="Times New Roman" w:hAnsi="Times New Roman" w:cs="Times New Roman"/>
                <w:sz w:val="24"/>
                <w:szCs w:val="24"/>
                <w:lang w:eastAsia="lv-LV"/>
              </w:rPr>
              <w:t>. </w:t>
            </w:r>
            <w:r w:rsidR="004B307F" w:rsidRPr="00AF63C4">
              <w:rPr>
                <w:rFonts w:ascii="Times New Roman" w:eastAsia="Times New Roman" w:hAnsi="Times New Roman" w:cs="Times New Roman"/>
                <w:sz w:val="24"/>
                <w:szCs w:val="24"/>
                <w:lang w:eastAsia="lv-LV"/>
              </w:rPr>
              <w:t xml:space="preserve">februāra </w:t>
            </w:r>
            <w:r w:rsidRPr="00AF63C4">
              <w:rPr>
                <w:rFonts w:ascii="Times New Roman" w:eastAsia="Times New Roman" w:hAnsi="Times New Roman" w:cs="Times New Roman"/>
                <w:sz w:val="24"/>
                <w:szCs w:val="24"/>
                <w:lang w:eastAsia="lv-LV"/>
              </w:rPr>
              <w:t>redakcijā)</w:t>
            </w:r>
          </w:p>
        </w:tc>
      </w:tr>
      <w:tr w:rsidR="006E14AC" w:rsidRPr="006E14AC" w14:paraId="4A541AF3" w14:textId="77777777" w:rsidTr="00A52938">
        <w:tc>
          <w:tcPr>
            <w:tcW w:w="846" w:type="dxa"/>
          </w:tcPr>
          <w:p w14:paraId="17BFAA15"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3.6.</w:t>
            </w:r>
          </w:p>
        </w:tc>
        <w:tc>
          <w:tcPr>
            <w:tcW w:w="8215" w:type="dxa"/>
          </w:tcPr>
          <w:p w14:paraId="2EECB7CE" w14:textId="656A2A93" w:rsidR="00CB699B" w:rsidRPr="00AF63C4" w:rsidRDefault="00076A2D">
            <w:pPr>
              <w:spacing w:after="120" w:line="240" w:lineRule="auto"/>
              <w:rPr>
                <w:rFonts w:ascii="Times New Roman" w:eastAsia="Times New Roman" w:hAnsi="Times New Roman" w:cs="Times New Roman"/>
                <w:sz w:val="24"/>
                <w:szCs w:val="24"/>
                <w:lang w:eastAsia="lv-LV"/>
              </w:rPr>
            </w:pPr>
            <w:r w:rsidRPr="00AF63C4">
              <w:rPr>
                <w:rFonts w:ascii="Times New Roman" w:eastAsia="Times New Roman" w:hAnsi="Times New Roman" w:cs="Times New Roman"/>
                <w:sz w:val="24"/>
                <w:szCs w:val="24"/>
                <w:lang w:eastAsia="lv-LV"/>
              </w:rPr>
              <w:t>T/R 61-02 – Harmonizētās radioamatieru eksaminācijas apliecības (</w:t>
            </w:r>
            <w:r w:rsidR="004B307F" w:rsidRPr="00AF63C4">
              <w:rPr>
                <w:rFonts w:ascii="Times New Roman" w:eastAsia="Times New Roman" w:hAnsi="Times New Roman" w:cs="Times New Roman"/>
                <w:sz w:val="24"/>
                <w:szCs w:val="24"/>
                <w:lang w:eastAsia="lv-LV"/>
              </w:rPr>
              <w:t>202</w:t>
            </w:r>
            <w:r w:rsidR="00974A9B" w:rsidRPr="00555F17">
              <w:rPr>
                <w:rFonts w:ascii="Times New Roman" w:eastAsia="Times New Roman" w:hAnsi="Times New Roman" w:cs="Times New Roman"/>
                <w:sz w:val="24"/>
                <w:szCs w:val="24"/>
                <w:lang w:eastAsia="lv-LV"/>
              </w:rPr>
              <w:t>4</w:t>
            </w:r>
            <w:r w:rsidR="004A6E54" w:rsidRPr="00AF63C4">
              <w:rPr>
                <w:rFonts w:ascii="Times New Roman" w:eastAsia="Times New Roman" w:hAnsi="Times New Roman" w:cs="Times New Roman"/>
                <w:sz w:val="24"/>
                <w:szCs w:val="24"/>
                <w:lang w:eastAsia="lv-LV"/>
              </w:rPr>
              <w:t xml:space="preserve">. gada </w:t>
            </w:r>
            <w:r w:rsidR="004B307F" w:rsidRPr="00AF63C4">
              <w:rPr>
                <w:rFonts w:ascii="Times New Roman" w:eastAsia="Times New Roman" w:hAnsi="Times New Roman" w:cs="Times New Roman"/>
                <w:sz w:val="24"/>
                <w:szCs w:val="24"/>
                <w:lang w:eastAsia="lv-LV"/>
              </w:rPr>
              <w:t>1</w:t>
            </w:r>
            <w:r w:rsidR="00974A9B" w:rsidRPr="00555F17">
              <w:rPr>
                <w:rFonts w:ascii="Times New Roman" w:eastAsia="Times New Roman" w:hAnsi="Times New Roman" w:cs="Times New Roman"/>
                <w:sz w:val="24"/>
                <w:szCs w:val="24"/>
                <w:lang w:eastAsia="lv-LV"/>
              </w:rPr>
              <w:t>6</w:t>
            </w:r>
            <w:r w:rsidR="004A6E54" w:rsidRPr="00AF63C4">
              <w:rPr>
                <w:rFonts w:ascii="Times New Roman" w:eastAsia="Times New Roman" w:hAnsi="Times New Roman" w:cs="Times New Roman"/>
                <w:sz w:val="24"/>
                <w:szCs w:val="24"/>
                <w:lang w:eastAsia="lv-LV"/>
              </w:rPr>
              <w:t>. </w:t>
            </w:r>
            <w:r w:rsidR="00974A9B" w:rsidRPr="00555F17">
              <w:rPr>
                <w:rFonts w:ascii="Times New Roman" w:eastAsia="Times New Roman" w:hAnsi="Times New Roman" w:cs="Times New Roman"/>
                <w:sz w:val="24"/>
                <w:szCs w:val="24"/>
                <w:lang w:eastAsia="lv-LV"/>
              </w:rPr>
              <w:t>februāra</w:t>
            </w:r>
            <w:r w:rsidR="004B307F" w:rsidRPr="00AF63C4">
              <w:rPr>
                <w:rFonts w:ascii="Times New Roman" w:eastAsia="Times New Roman" w:hAnsi="Times New Roman" w:cs="Times New Roman"/>
                <w:sz w:val="24"/>
                <w:szCs w:val="24"/>
                <w:lang w:eastAsia="lv-LV"/>
              </w:rPr>
              <w:t xml:space="preserve"> </w:t>
            </w:r>
            <w:r w:rsidRPr="00AF63C4">
              <w:rPr>
                <w:rFonts w:ascii="Times New Roman" w:eastAsia="Times New Roman" w:hAnsi="Times New Roman" w:cs="Times New Roman"/>
                <w:sz w:val="24"/>
                <w:szCs w:val="24"/>
                <w:lang w:eastAsia="lv-LV"/>
              </w:rPr>
              <w:t>redakcijā)</w:t>
            </w:r>
          </w:p>
        </w:tc>
      </w:tr>
      <w:tr w:rsidR="006E14AC" w:rsidRPr="006E14AC" w14:paraId="05690312" w14:textId="77777777" w:rsidTr="00A52938">
        <w:tc>
          <w:tcPr>
            <w:tcW w:w="846" w:type="dxa"/>
          </w:tcPr>
          <w:p w14:paraId="179AB033"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3.7.</w:t>
            </w:r>
          </w:p>
        </w:tc>
        <w:tc>
          <w:tcPr>
            <w:tcW w:w="8215" w:type="dxa"/>
          </w:tcPr>
          <w:p w14:paraId="246658CA" w14:textId="0F6D3F1C"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ERC/REC 12-02 – Harmonizēts radiofrekvenču kanālu plānojums zemes analogajām un ciparu fiksētajām sistēmām, kuras izmanto joslu no 12,75 GHz līdz 13,25 GHz (2007</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15</w:t>
            </w:r>
            <w:r w:rsidR="004A6E54" w:rsidRPr="006E14AC">
              <w:rPr>
                <w:rFonts w:ascii="Times New Roman" w:eastAsia="Times New Roman" w:hAnsi="Times New Roman" w:cs="Times New Roman"/>
                <w:sz w:val="24"/>
                <w:szCs w:val="24"/>
                <w:lang w:eastAsia="lv-LV"/>
              </w:rPr>
              <w:t xml:space="preserve">. jūnija </w:t>
            </w:r>
            <w:r w:rsidRPr="006E14AC">
              <w:rPr>
                <w:rFonts w:ascii="Times New Roman" w:eastAsia="Times New Roman" w:hAnsi="Times New Roman" w:cs="Times New Roman"/>
                <w:sz w:val="24"/>
                <w:szCs w:val="24"/>
                <w:lang w:eastAsia="lv-LV"/>
              </w:rPr>
              <w:t>redakcijā)</w:t>
            </w:r>
          </w:p>
        </w:tc>
      </w:tr>
      <w:tr w:rsidR="006E14AC" w:rsidRPr="006E14AC" w14:paraId="6429F12B" w14:textId="77777777" w:rsidTr="00A52938">
        <w:tc>
          <w:tcPr>
            <w:tcW w:w="846" w:type="dxa"/>
          </w:tcPr>
          <w:p w14:paraId="28A77A2B"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3.8.</w:t>
            </w:r>
          </w:p>
        </w:tc>
        <w:tc>
          <w:tcPr>
            <w:tcW w:w="8215" w:type="dxa"/>
          </w:tcPr>
          <w:p w14:paraId="3C06990A" w14:textId="37D58019"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ERC/REC 12-03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Harmonizēts radiofrekvenču kanālu plānojums zemes ciparu fiksētajām sistēmām, kuras izmanto joslu no 17,7 GHz līdz 19,7 GHz (2019</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29</w:t>
            </w:r>
            <w:r w:rsidR="004A6E54" w:rsidRPr="006E14AC">
              <w:rPr>
                <w:rFonts w:ascii="Times New Roman" w:eastAsia="Times New Roman" w:hAnsi="Times New Roman" w:cs="Times New Roman"/>
                <w:sz w:val="24"/>
                <w:szCs w:val="24"/>
                <w:lang w:eastAsia="lv-LV"/>
              </w:rPr>
              <w:t xml:space="preserve">. maija </w:t>
            </w:r>
            <w:r w:rsidRPr="006E14AC">
              <w:rPr>
                <w:rFonts w:ascii="Times New Roman" w:eastAsia="Times New Roman" w:hAnsi="Times New Roman" w:cs="Times New Roman"/>
                <w:sz w:val="24"/>
                <w:szCs w:val="24"/>
                <w:lang w:eastAsia="lv-LV"/>
              </w:rPr>
              <w:t>redakcijā)</w:t>
            </w:r>
          </w:p>
        </w:tc>
      </w:tr>
      <w:tr w:rsidR="006E14AC" w:rsidRPr="006E14AC" w14:paraId="3DC3B343" w14:textId="77777777" w:rsidTr="00A52938">
        <w:tc>
          <w:tcPr>
            <w:tcW w:w="846" w:type="dxa"/>
          </w:tcPr>
          <w:p w14:paraId="3815E4F9"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3.9.</w:t>
            </w:r>
          </w:p>
        </w:tc>
        <w:tc>
          <w:tcPr>
            <w:tcW w:w="8215" w:type="dxa"/>
          </w:tcPr>
          <w:p w14:paraId="3AFE02F1" w14:textId="75211FFF"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ERC/REC 12-05 – Harmonizēts radiofrekvenču kanālu plānojums zemes ciparu fiksētajām sistēmām, kuras izmanto 10,0–10,68 GHz joslu (2007</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15</w:t>
            </w:r>
            <w:r w:rsidR="004A6E54" w:rsidRPr="006E14AC">
              <w:rPr>
                <w:rFonts w:ascii="Times New Roman" w:eastAsia="Times New Roman" w:hAnsi="Times New Roman" w:cs="Times New Roman"/>
                <w:sz w:val="24"/>
                <w:szCs w:val="24"/>
                <w:lang w:eastAsia="lv-LV"/>
              </w:rPr>
              <w:t xml:space="preserve">. jūnija </w:t>
            </w:r>
            <w:r w:rsidRPr="006E14AC">
              <w:rPr>
                <w:rFonts w:ascii="Times New Roman" w:eastAsia="Times New Roman" w:hAnsi="Times New Roman" w:cs="Times New Roman"/>
                <w:sz w:val="24"/>
                <w:szCs w:val="24"/>
                <w:lang w:eastAsia="lv-LV"/>
              </w:rPr>
              <w:t>redakcijā)</w:t>
            </w:r>
          </w:p>
        </w:tc>
      </w:tr>
      <w:tr w:rsidR="006E14AC" w:rsidRPr="006E14AC" w14:paraId="2575A7A0" w14:textId="77777777" w:rsidTr="00A52938">
        <w:tc>
          <w:tcPr>
            <w:tcW w:w="846" w:type="dxa"/>
          </w:tcPr>
          <w:p w14:paraId="17C0F7C5"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3.10.</w:t>
            </w:r>
          </w:p>
        </w:tc>
        <w:tc>
          <w:tcPr>
            <w:tcW w:w="8215" w:type="dxa"/>
          </w:tcPr>
          <w:p w14:paraId="60EDFFA8" w14:textId="4244F7BB"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ERC/REC 12-06 – Ieteicamais kanālu plānojums fiksētā dienesta ciparu sistēmām, kuras izmanto 10,7–11,7 GHz joslu (2019</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29</w:t>
            </w:r>
            <w:r w:rsidR="004A6E54" w:rsidRPr="006E14AC">
              <w:rPr>
                <w:rFonts w:ascii="Times New Roman" w:eastAsia="Times New Roman" w:hAnsi="Times New Roman" w:cs="Times New Roman"/>
                <w:sz w:val="24"/>
                <w:szCs w:val="24"/>
                <w:lang w:eastAsia="lv-LV"/>
              </w:rPr>
              <w:t xml:space="preserve">. maija </w:t>
            </w:r>
            <w:r w:rsidRPr="006E14AC">
              <w:rPr>
                <w:rFonts w:ascii="Times New Roman" w:eastAsia="Times New Roman" w:hAnsi="Times New Roman" w:cs="Times New Roman"/>
                <w:sz w:val="24"/>
                <w:szCs w:val="24"/>
                <w:lang w:eastAsia="lv-LV"/>
              </w:rPr>
              <w:t>redakcijā)</w:t>
            </w:r>
          </w:p>
        </w:tc>
      </w:tr>
      <w:tr w:rsidR="006E14AC" w:rsidRPr="006E14AC" w14:paraId="120B5EE0" w14:textId="77777777" w:rsidTr="00965AEA">
        <w:tc>
          <w:tcPr>
            <w:tcW w:w="846" w:type="dxa"/>
          </w:tcPr>
          <w:p w14:paraId="2DAC6591"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3.11.</w:t>
            </w:r>
          </w:p>
        </w:tc>
        <w:tc>
          <w:tcPr>
            <w:tcW w:w="8215" w:type="dxa"/>
          </w:tcPr>
          <w:p w14:paraId="49C1273E" w14:textId="02B92E86"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ERC/REC 12-07 – Harmonizēts radiofrekvenču kanālu plānojums zemes ciparu fiksētajām sistēmām, kuras izmanto duplekso joslu 14,5–14,62 GHz un 15,23–15,35 GHz</w:t>
            </w:r>
          </w:p>
        </w:tc>
      </w:tr>
      <w:tr w:rsidR="006E14AC" w:rsidRPr="006E14AC" w14:paraId="76C24A63" w14:textId="77777777" w:rsidTr="00A52938">
        <w:tc>
          <w:tcPr>
            <w:tcW w:w="846" w:type="dxa"/>
          </w:tcPr>
          <w:p w14:paraId="594379AF"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3.12.</w:t>
            </w:r>
          </w:p>
        </w:tc>
        <w:tc>
          <w:tcPr>
            <w:tcW w:w="8215" w:type="dxa"/>
          </w:tcPr>
          <w:p w14:paraId="0CA02544" w14:textId="7D9F71E1"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ERC/REC 12-11 – Radiofrekvenču kanālu plānojums fiksētā dienesta sistēmām, kuras izmanto 51,4–52,6 GHz joslu (2015</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8</w:t>
            </w:r>
            <w:r w:rsidR="004A6E54" w:rsidRPr="006E14AC">
              <w:rPr>
                <w:rFonts w:ascii="Times New Roman" w:eastAsia="Times New Roman" w:hAnsi="Times New Roman" w:cs="Times New Roman"/>
                <w:sz w:val="24"/>
                <w:szCs w:val="24"/>
                <w:lang w:eastAsia="lv-LV"/>
              </w:rPr>
              <w:t xml:space="preserve">. maija </w:t>
            </w:r>
            <w:r w:rsidRPr="006E14AC">
              <w:rPr>
                <w:rFonts w:ascii="Times New Roman" w:eastAsia="Times New Roman" w:hAnsi="Times New Roman" w:cs="Times New Roman"/>
                <w:sz w:val="24"/>
                <w:szCs w:val="24"/>
                <w:lang w:eastAsia="lv-LV"/>
              </w:rPr>
              <w:t>redakcijā)</w:t>
            </w:r>
          </w:p>
        </w:tc>
      </w:tr>
      <w:tr w:rsidR="006E14AC" w:rsidRPr="006E14AC" w14:paraId="7C87780A" w14:textId="77777777" w:rsidTr="00A52938">
        <w:tc>
          <w:tcPr>
            <w:tcW w:w="846" w:type="dxa"/>
          </w:tcPr>
          <w:p w14:paraId="16ACAA02"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3.13.</w:t>
            </w:r>
          </w:p>
        </w:tc>
        <w:tc>
          <w:tcPr>
            <w:tcW w:w="8215" w:type="dxa"/>
          </w:tcPr>
          <w:p w14:paraId="7902D3E2" w14:textId="0F805F71"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ERC/REC 12-12 – Radiofrekvenču kanālu plānojums fiksētā dienesta sistēmām, kuras izmanto 55,78–57,0 GHz joslu (2015</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30</w:t>
            </w:r>
            <w:r w:rsidR="004A6E54" w:rsidRPr="006E14AC">
              <w:rPr>
                <w:rFonts w:ascii="Times New Roman" w:eastAsia="Times New Roman" w:hAnsi="Times New Roman" w:cs="Times New Roman"/>
                <w:sz w:val="24"/>
                <w:szCs w:val="24"/>
                <w:lang w:eastAsia="lv-LV"/>
              </w:rPr>
              <w:t xml:space="preserve">. janvāra </w:t>
            </w:r>
            <w:r w:rsidRPr="006E14AC">
              <w:rPr>
                <w:rFonts w:ascii="Times New Roman" w:eastAsia="Times New Roman" w:hAnsi="Times New Roman" w:cs="Times New Roman"/>
                <w:sz w:val="24"/>
                <w:szCs w:val="24"/>
                <w:lang w:eastAsia="lv-LV"/>
              </w:rPr>
              <w:t>redakcijā)</w:t>
            </w:r>
          </w:p>
        </w:tc>
      </w:tr>
      <w:tr w:rsidR="006E14AC" w:rsidRPr="006E14AC" w14:paraId="410E05F6" w14:textId="77777777" w:rsidTr="00965AEA">
        <w:tc>
          <w:tcPr>
            <w:tcW w:w="846" w:type="dxa"/>
          </w:tcPr>
          <w:p w14:paraId="74150A0C"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lastRenderedPageBreak/>
              <w:t>3.14.</w:t>
            </w:r>
          </w:p>
        </w:tc>
        <w:tc>
          <w:tcPr>
            <w:tcW w:w="8215" w:type="dxa"/>
          </w:tcPr>
          <w:p w14:paraId="662F5648" w14:textId="2BED341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ERC/REC 13-03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14,0–14,5 GHz joslas izmantošana satelītu galiekārtām ar ļoti mazu antenas atvērumu (VSAT) un satelītu sakariem ziņu savākšanai (SNG)</w:t>
            </w:r>
          </w:p>
        </w:tc>
      </w:tr>
      <w:tr w:rsidR="006E14AC" w:rsidRPr="006E14AC" w14:paraId="5C453EE8" w14:textId="77777777" w:rsidTr="00A52938">
        <w:tc>
          <w:tcPr>
            <w:tcW w:w="846" w:type="dxa"/>
          </w:tcPr>
          <w:p w14:paraId="5207873B"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3.15.</w:t>
            </w:r>
          </w:p>
        </w:tc>
        <w:tc>
          <w:tcPr>
            <w:tcW w:w="8215" w:type="dxa"/>
          </w:tcPr>
          <w:p w14:paraId="05DBCC9C" w14:textId="2238F9C9"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ERC/REC 14-01 – Radiofrekvenču kanālu plānojums lielas ietilpības analogajām vai ciparu radioreleju sistēmām, kuras izmanto 5925–6425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joslu (2015</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8</w:t>
            </w:r>
            <w:r w:rsidR="004A6E54" w:rsidRPr="006E14AC">
              <w:rPr>
                <w:rFonts w:ascii="Times New Roman" w:eastAsia="Times New Roman" w:hAnsi="Times New Roman" w:cs="Times New Roman"/>
                <w:sz w:val="24"/>
                <w:szCs w:val="24"/>
                <w:lang w:eastAsia="lv-LV"/>
              </w:rPr>
              <w:t xml:space="preserve">. maija </w:t>
            </w:r>
            <w:r w:rsidRPr="006E14AC">
              <w:rPr>
                <w:rFonts w:ascii="Times New Roman" w:eastAsia="Times New Roman" w:hAnsi="Times New Roman" w:cs="Times New Roman"/>
                <w:sz w:val="24"/>
                <w:szCs w:val="24"/>
                <w:lang w:eastAsia="lv-LV"/>
              </w:rPr>
              <w:t>redakcijā)</w:t>
            </w:r>
          </w:p>
        </w:tc>
      </w:tr>
      <w:tr w:rsidR="006E14AC" w:rsidRPr="006E14AC" w14:paraId="3230944A" w14:textId="77777777" w:rsidTr="00A52938">
        <w:tc>
          <w:tcPr>
            <w:tcW w:w="846" w:type="dxa"/>
          </w:tcPr>
          <w:p w14:paraId="678B39FF"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3.16.</w:t>
            </w:r>
          </w:p>
        </w:tc>
        <w:tc>
          <w:tcPr>
            <w:tcW w:w="8215" w:type="dxa"/>
          </w:tcPr>
          <w:p w14:paraId="633CE52B" w14:textId="720DDBDD"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ERC/REC 14-02 – Radiofrekvenču kanālu plānojums vidējas un lielas ietilpības analogajām vai lielas ietilpības ciparu radioreleju sistēmām, kuras izmanto 6425–7125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joslu (2014</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19</w:t>
            </w:r>
            <w:r w:rsidR="004A6E54" w:rsidRPr="006E14AC">
              <w:rPr>
                <w:rFonts w:ascii="Times New Roman" w:eastAsia="Times New Roman" w:hAnsi="Times New Roman" w:cs="Times New Roman"/>
                <w:sz w:val="24"/>
                <w:szCs w:val="24"/>
                <w:lang w:eastAsia="lv-LV"/>
              </w:rPr>
              <w:t xml:space="preserve">. septembra </w:t>
            </w:r>
            <w:r w:rsidRPr="006E14AC">
              <w:rPr>
                <w:rFonts w:ascii="Times New Roman" w:eastAsia="Times New Roman" w:hAnsi="Times New Roman" w:cs="Times New Roman"/>
                <w:sz w:val="24"/>
                <w:szCs w:val="24"/>
                <w:lang w:eastAsia="lv-LV"/>
              </w:rPr>
              <w:t>redakcijā)</w:t>
            </w:r>
          </w:p>
        </w:tc>
      </w:tr>
      <w:tr w:rsidR="006E14AC" w:rsidRPr="006E14AC" w14:paraId="68697A62" w14:textId="77777777" w:rsidTr="00A52938">
        <w:tc>
          <w:tcPr>
            <w:tcW w:w="846" w:type="dxa"/>
          </w:tcPr>
          <w:p w14:paraId="0CB5A36B"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3.17.</w:t>
            </w:r>
          </w:p>
        </w:tc>
        <w:tc>
          <w:tcPr>
            <w:tcW w:w="8215" w:type="dxa"/>
          </w:tcPr>
          <w:p w14:paraId="2F4AECC1" w14:textId="2B18869D"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ERC/REC 25-10</w:t>
            </w:r>
            <w:r w:rsidR="000407C7" w:rsidRPr="006E14AC">
              <w:rPr>
                <w:rFonts w:ascii="Times New Roman" w:eastAsia="Times New Roman" w:hAnsi="Times New Roman" w:cs="Times New Roman"/>
                <w:sz w:val="24"/>
                <w:szCs w:val="24"/>
                <w:lang w:eastAsia="lv-LV"/>
              </w:rPr>
              <w:t xml:space="preserve"> –</w:t>
            </w:r>
            <w:r w:rsidRPr="006E14AC">
              <w:rPr>
                <w:rFonts w:ascii="Times New Roman" w:eastAsia="Times New Roman" w:hAnsi="Times New Roman" w:cs="Times New Roman"/>
                <w:sz w:val="24"/>
                <w:szCs w:val="24"/>
                <w:lang w:eastAsia="lv-LV"/>
              </w:rPr>
              <w:t xml:space="preserve"> Frekvenču joslas skaņas un video programmu gatavošanas un īpašo pasākumu ierīcēm (PMSE) zemes lietojumiem (</w:t>
            </w:r>
            <w:r w:rsidR="004B307F">
              <w:rPr>
                <w:rFonts w:ascii="Times New Roman" w:eastAsia="Times New Roman" w:hAnsi="Times New Roman" w:cs="Times New Roman"/>
                <w:sz w:val="24"/>
                <w:szCs w:val="24"/>
                <w:lang w:eastAsia="lv-LV"/>
              </w:rPr>
              <w:t>2023</w:t>
            </w:r>
            <w:r w:rsidR="004A6E54" w:rsidRPr="006E14AC">
              <w:rPr>
                <w:rFonts w:ascii="Times New Roman" w:eastAsia="Times New Roman" w:hAnsi="Times New Roman" w:cs="Times New Roman"/>
                <w:sz w:val="24"/>
                <w:szCs w:val="24"/>
                <w:lang w:eastAsia="lv-LV"/>
              </w:rPr>
              <w:t xml:space="preserve">. gada </w:t>
            </w:r>
            <w:r w:rsidR="004B307F">
              <w:rPr>
                <w:rFonts w:ascii="Times New Roman" w:eastAsia="Times New Roman" w:hAnsi="Times New Roman" w:cs="Times New Roman"/>
                <w:sz w:val="24"/>
                <w:szCs w:val="24"/>
                <w:lang w:eastAsia="lv-LV"/>
              </w:rPr>
              <w:t>16</w:t>
            </w:r>
            <w:r w:rsidR="004A6E54" w:rsidRPr="006E14AC">
              <w:rPr>
                <w:rFonts w:ascii="Times New Roman" w:eastAsia="Times New Roman" w:hAnsi="Times New Roman" w:cs="Times New Roman"/>
                <w:sz w:val="24"/>
                <w:szCs w:val="24"/>
                <w:lang w:eastAsia="lv-LV"/>
              </w:rPr>
              <w:t>. </w:t>
            </w:r>
            <w:r w:rsidR="004B307F">
              <w:rPr>
                <w:rFonts w:ascii="Times New Roman" w:eastAsia="Times New Roman" w:hAnsi="Times New Roman" w:cs="Times New Roman"/>
                <w:sz w:val="24"/>
                <w:szCs w:val="24"/>
                <w:lang w:eastAsia="lv-LV"/>
              </w:rPr>
              <w:t>jūnija</w:t>
            </w:r>
            <w:r w:rsidR="004B307F" w:rsidRPr="006E14AC">
              <w:rPr>
                <w:rFonts w:ascii="Times New Roman" w:eastAsia="Times New Roman" w:hAnsi="Times New Roman" w:cs="Times New Roman"/>
                <w:sz w:val="24"/>
                <w:szCs w:val="24"/>
                <w:lang w:eastAsia="lv-LV"/>
              </w:rPr>
              <w:t xml:space="preserve"> </w:t>
            </w:r>
            <w:r w:rsidRPr="006E14AC">
              <w:rPr>
                <w:rFonts w:ascii="Times New Roman" w:eastAsia="Times New Roman" w:hAnsi="Times New Roman" w:cs="Times New Roman"/>
                <w:sz w:val="24"/>
                <w:szCs w:val="24"/>
                <w:lang w:eastAsia="lv-LV"/>
              </w:rPr>
              <w:t>redakcijā)</w:t>
            </w:r>
          </w:p>
        </w:tc>
      </w:tr>
      <w:tr w:rsidR="006E14AC" w:rsidRPr="006E14AC" w14:paraId="0CC3C0E4" w14:textId="77777777" w:rsidTr="00A52938">
        <w:tc>
          <w:tcPr>
            <w:tcW w:w="846" w:type="dxa"/>
          </w:tcPr>
          <w:p w14:paraId="3188EC60"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3.18.</w:t>
            </w:r>
          </w:p>
        </w:tc>
        <w:tc>
          <w:tcPr>
            <w:tcW w:w="8215" w:type="dxa"/>
          </w:tcPr>
          <w:p w14:paraId="6CE0F27E" w14:textId="4952F35B"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ERC/REC 70-03 – Par maza darbības attāluma ierīču (SRD) lietošanu (</w:t>
            </w:r>
            <w:r w:rsidR="004B307F">
              <w:rPr>
                <w:rFonts w:ascii="Times New Roman" w:eastAsia="Times New Roman" w:hAnsi="Times New Roman" w:cs="Times New Roman"/>
                <w:sz w:val="24"/>
                <w:szCs w:val="24"/>
                <w:lang w:eastAsia="lv-LV"/>
              </w:rPr>
              <w:t>2023</w:t>
            </w:r>
            <w:r w:rsidR="004A6E54" w:rsidRPr="006E14AC">
              <w:rPr>
                <w:rFonts w:ascii="Times New Roman" w:eastAsia="Times New Roman" w:hAnsi="Times New Roman" w:cs="Times New Roman"/>
                <w:sz w:val="24"/>
                <w:szCs w:val="24"/>
                <w:lang w:eastAsia="lv-LV"/>
              </w:rPr>
              <w:t xml:space="preserve">. gada </w:t>
            </w:r>
            <w:r w:rsidR="004B307F">
              <w:rPr>
                <w:rFonts w:ascii="Times New Roman" w:eastAsia="Times New Roman" w:hAnsi="Times New Roman" w:cs="Times New Roman"/>
                <w:sz w:val="24"/>
                <w:szCs w:val="24"/>
                <w:lang w:eastAsia="lv-LV"/>
              </w:rPr>
              <w:t>16</w:t>
            </w:r>
            <w:r w:rsidR="004A6E54" w:rsidRPr="006E14AC">
              <w:rPr>
                <w:rFonts w:ascii="Times New Roman" w:eastAsia="Times New Roman" w:hAnsi="Times New Roman" w:cs="Times New Roman"/>
                <w:sz w:val="24"/>
                <w:szCs w:val="24"/>
                <w:lang w:eastAsia="lv-LV"/>
              </w:rPr>
              <w:t xml:space="preserve">. jūnija </w:t>
            </w:r>
            <w:r w:rsidRPr="006E14AC">
              <w:rPr>
                <w:rFonts w:ascii="Times New Roman" w:eastAsia="Times New Roman" w:hAnsi="Times New Roman" w:cs="Times New Roman"/>
                <w:sz w:val="24"/>
                <w:szCs w:val="24"/>
                <w:lang w:eastAsia="lv-LV"/>
              </w:rPr>
              <w:t>redakcijā)</w:t>
            </w:r>
          </w:p>
        </w:tc>
      </w:tr>
      <w:tr w:rsidR="006E14AC" w:rsidRPr="006E14AC" w14:paraId="6A91935D" w14:textId="77777777" w:rsidTr="00965AEA">
        <w:tc>
          <w:tcPr>
            <w:tcW w:w="846" w:type="dxa"/>
          </w:tcPr>
          <w:p w14:paraId="4CCB9AB5"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3.19.</w:t>
            </w:r>
          </w:p>
        </w:tc>
        <w:tc>
          <w:tcPr>
            <w:tcW w:w="8215" w:type="dxa"/>
          </w:tcPr>
          <w:p w14:paraId="39FAEE37"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ERC/REC/(00)04 – Harmonizētās radiofrekvences, brīvā aprite un lietošana radioiekārtām, kuras paredzētas sakariem, izmantojot radioviļņu atstarošanos no meteorītu pēdām</w:t>
            </w:r>
          </w:p>
        </w:tc>
      </w:tr>
      <w:tr w:rsidR="006E14AC" w:rsidRPr="006E14AC" w14:paraId="51F63FC8" w14:textId="77777777" w:rsidTr="00A52938">
        <w:tc>
          <w:tcPr>
            <w:tcW w:w="846" w:type="dxa"/>
          </w:tcPr>
          <w:p w14:paraId="6DCF3963"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3.20.</w:t>
            </w:r>
          </w:p>
        </w:tc>
        <w:tc>
          <w:tcPr>
            <w:tcW w:w="8215" w:type="dxa"/>
          </w:tcPr>
          <w:p w14:paraId="41D98CAA" w14:textId="4FDEF07C"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ERC/REC/(01)02 – Ieteicamais kanālu plānojums fiksētā dienesta ciparu sistēmām, kuras izmanto 31,8–33,4 GHz radiofrekvenču joslu (2019</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29</w:t>
            </w:r>
            <w:r w:rsidR="004A6E54" w:rsidRPr="006E14AC">
              <w:rPr>
                <w:rFonts w:ascii="Times New Roman" w:eastAsia="Times New Roman" w:hAnsi="Times New Roman" w:cs="Times New Roman"/>
                <w:sz w:val="24"/>
                <w:szCs w:val="24"/>
                <w:lang w:eastAsia="lv-LV"/>
              </w:rPr>
              <w:t xml:space="preserve">. maija </w:t>
            </w:r>
            <w:r w:rsidRPr="006E14AC">
              <w:rPr>
                <w:rFonts w:ascii="Times New Roman" w:eastAsia="Times New Roman" w:hAnsi="Times New Roman" w:cs="Times New Roman"/>
                <w:sz w:val="24"/>
                <w:szCs w:val="24"/>
                <w:lang w:eastAsia="lv-LV"/>
              </w:rPr>
              <w:t>redakcijā)</w:t>
            </w:r>
          </w:p>
        </w:tc>
      </w:tr>
      <w:tr w:rsidR="006E14AC" w:rsidRPr="006E14AC" w14:paraId="74AA5D75" w14:textId="77777777" w:rsidTr="00A52938">
        <w:tc>
          <w:tcPr>
            <w:tcW w:w="846" w:type="dxa"/>
          </w:tcPr>
          <w:p w14:paraId="6EF9B651"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3.21.</w:t>
            </w:r>
          </w:p>
        </w:tc>
        <w:tc>
          <w:tcPr>
            <w:tcW w:w="8215" w:type="dxa"/>
          </w:tcPr>
          <w:p w14:paraId="7CD43962" w14:textId="41743C29"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ECC/REC/(01)04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Ieteikumi multimediju bezvadu sistēmu (MWS) ieviešanai 40,5–43,5 GHz joslā (2014</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13</w:t>
            </w:r>
            <w:r w:rsidR="004A6E54" w:rsidRPr="006E14AC">
              <w:rPr>
                <w:rFonts w:ascii="Times New Roman" w:eastAsia="Times New Roman" w:hAnsi="Times New Roman" w:cs="Times New Roman"/>
                <w:sz w:val="24"/>
                <w:szCs w:val="24"/>
                <w:lang w:eastAsia="lv-LV"/>
              </w:rPr>
              <w:t xml:space="preserve">. maija </w:t>
            </w:r>
            <w:r w:rsidRPr="006E14AC">
              <w:rPr>
                <w:rFonts w:ascii="Times New Roman" w:eastAsia="Times New Roman" w:hAnsi="Times New Roman" w:cs="Times New Roman"/>
                <w:sz w:val="24"/>
                <w:szCs w:val="24"/>
                <w:lang w:eastAsia="lv-LV"/>
              </w:rPr>
              <w:t>redakcijā)</w:t>
            </w:r>
          </w:p>
        </w:tc>
      </w:tr>
      <w:tr w:rsidR="006E14AC" w:rsidRPr="006E14AC" w14:paraId="251EB984" w14:textId="77777777" w:rsidTr="00A52938">
        <w:tc>
          <w:tcPr>
            <w:tcW w:w="846" w:type="dxa"/>
          </w:tcPr>
          <w:p w14:paraId="46D05142"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3.22.</w:t>
            </w:r>
          </w:p>
        </w:tc>
        <w:tc>
          <w:tcPr>
            <w:tcW w:w="8215" w:type="dxa"/>
          </w:tcPr>
          <w:p w14:paraId="40CA1F47" w14:textId="78520EC8"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ECC/REC/(02)02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Kanālu plānojums fiksētā dienesta ciparu sistēmām (punkts</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punkts un punkts</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daudzpunkti), kuras izmanto 31–31,3 GHz joslu (2010</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5</w:t>
            </w:r>
            <w:r w:rsidR="004A6E54" w:rsidRPr="006E14AC">
              <w:rPr>
                <w:rFonts w:ascii="Times New Roman" w:eastAsia="Times New Roman" w:hAnsi="Times New Roman" w:cs="Times New Roman"/>
                <w:sz w:val="24"/>
                <w:szCs w:val="24"/>
                <w:lang w:eastAsia="lv-LV"/>
              </w:rPr>
              <w:t xml:space="preserve">. februāra </w:t>
            </w:r>
            <w:r w:rsidRPr="006E14AC">
              <w:rPr>
                <w:rFonts w:ascii="Times New Roman" w:eastAsia="Times New Roman" w:hAnsi="Times New Roman" w:cs="Times New Roman"/>
                <w:sz w:val="24"/>
                <w:szCs w:val="24"/>
                <w:lang w:eastAsia="lv-LV"/>
              </w:rPr>
              <w:t>redakcijā)</w:t>
            </w:r>
          </w:p>
        </w:tc>
      </w:tr>
      <w:tr w:rsidR="006E14AC" w:rsidRPr="006E14AC" w14:paraId="3A79CB81" w14:textId="77777777" w:rsidTr="00A52938">
        <w:tc>
          <w:tcPr>
            <w:tcW w:w="846" w:type="dxa"/>
          </w:tcPr>
          <w:p w14:paraId="26BFC4D0"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3.23.</w:t>
            </w:r>
          </w:p>
        </w:tc>
        <w:tc>
          <w:tcPr>
            <w:tcW w:w="8215" w:type="dxa"/>
          </w:tcPr>
          <w:p w14:paraId="25EE1A75" w14:textId="0CF78FB1"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ECC/REC/(02)06 – Ieteicamais kanālu plānojums fiksētā dienesta ciparu sistēmām, kuras izmanto 7125–8500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joslu (2015</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19</w:t>
            </w:r>
            <w:r w:rsidR="004A6E54" w:rsidRPr="006E14AC">
              <w:rPr>
                <w:rFonts w:ascii="Times New Roman" w:eastAsia="Times New Roman" w:hAnsi="Times New Roman" w:cs="Times New Roman"/>
                <w:sz w:val="24"/>
                <w:szCs w:val="24"/>
                <w:lang w:eastAsia="lv-LV"/>
              </w:rPr>
              <w:t xml:space="preserve">. jūnija </w:t>
            </w:r>
            <w:r w:rsidRPr="006E14AC">
              <w:rPr>
                <w:rFonts w:ascii="Times New Roman" w:eastAsia="Times New Roman" w:hAnsi="Times New Roman" w:cs="Times New Roman"/>
                <w:sz w:val="24"/>
                <w:szCs w:val="24"/>
                <w:lang w:eastAsia="lv-LV"/>
              </w:rPr>
              <w:t>redakcijā)</w:t>
            </w:r>
          </w:p>
        </w:tc>
      </w:tr>
      <w:tr w:rsidR="006E14AC" w:rsidRPr="006E14AC" w14:paraId="47CE2978" w14:textId="77777777" w:rsidTr="00A52938">
        <w:tc>
          <w:tcPr>
            <w:tcW w:w="846" w:type="dxa"/>
          </w:tcPr>
          <w:p w14:paraId="6D80D4E6"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3.24.</w:t>
            </w:r>
          </w:p>
        </w:tc>
        <w:tc>
          <w:tcPr>
            <w:tcW w:w="8215" w:type="dxa"/>
          </w:tcPr>
          <w:p w14:paraId="02746EE0" w14:textId="17C297D0" w:rsidR="00CB699B" w:rsidRPr="006E14AC" w:rsidRDefault="00076A2D">
            <w:pPr>
              <w:spacing w:after="120" w:line="240" w:lineRule="auto"/>
              <w:rPr>
                <w:rFonts w:ascii="Times New Roman" w:eastAsia="Times New Roman" w:hAnsi="Times New Roman" w:cs="Times New Roman"/>
                <w:sz w:val="24"/>
                <w:szCs w:val="24"/>
                <w:lang w:eastAsia="lv-LV"/>
              </w:rPr>
            </w:pPr>
            <w:r w:rsidRPr="00AF63C4">
              <w:rPr>
                <w:rFonts w:ascii="Times New Roman" w:eastAsia="Times New Roman" w:hAnsi="Times New Roman" w:cs="Times New Roman"/>
                <w:sz w:val="24"/>
                <w:szCs w:val="24"/>
                <w:lang w:eastAsia="lv-LV"/>
              </w:rPr>
              <w:t xml:space="preserve">ECC/REC/(05)06 </w:t>
            </w:r>
            <w:r w:rsidR="000407C7" w:rsidRPr="00AF63C4">
              <w:rPr>
                <w:rFonts w:ascii="Times New Roman" w:eastAsia="Times New Roman" w:hAnsi="Times New Roman" w:cs="Times New Roman"/>
                <w:sz w:val="24"/>
                <w:szCs w:val="24"/>
                <w:lang w:eastAsia="lv-LV"/>
              </w:rPr>
              <w:t>–</w:t>
            </w:r>
            <w:r w:rsidRPr="00AF63C4">
              <w:rPr>
                <w:rFonts w:ascii="Times New Roman" w:eastAsia="Times New Roman" w:hAnsi="Times New Roman" w:cs="Times New Roman"/>
                <w:sz w:val="24"/>
                <w:szCs w:val="24"/>
                <w:lang w:eastAsia="lv-LV"/>
              </w:rPr>
              <w:t xml:space="preserve"> CEPT iesācēju radioamatieru atļauja (</w:t>
            </w:r>
            <w:r w:rsidR="004B307F" w:rsidRPr="00AF63C4">
              <w:rPr>
                <w:rFonts w:ascii="Times New Roman" w:eastAsia="Times New Roman" w:hAnsi="Times New Roman" w:cs="Times New Roman"/>
                <w:sz w:val="24"/>
                <w:szCs w:val="24"/>
                <w:lang w:eastAsia="lv-LV"/>
              </w:rPr>
              <w:t>202</w:t>
            </w:r>
            <w:r w:rsidR="0098569B" w:rsidRPr="00555F17">
              <w:rPr>
                <w:rFonts w:ascii="Times New Roman" w:eastAsia="Times New Roman" w:hAnsi="Times New Roman" w:cs="Times New Roman"/>
                <w:sz w:val="24"/>
                <w:szCs w:val="24"/>
                <w:lang w:eastAsia="lv-LV"/>
              </w:rPr>
              <w:t>4</w:t>
            </w:r>
            <w:r w:rsidR="004A6E54" w:rsidRPr="00AF63C4">
              <w:rPr>
                <w:rFonts w:ascii="Times New Roman" w:eastAsia="Times New Roman" w:hAnsi="Times New Roman" w:cs="Times New Roman"/>
                <w:sz w:val="24"/>
                <w:szCs w:val="24"/>
                <w:lang w:eastAsia="lv-LV"/>
              </w:rPr>
              <w:t xml:space="preserve">. gada </w:t>
            </w:r>
            <w:r w:rsidR="004B307F" w:rsidRPr="00AF63C4">
              <w:rPr>
                <w:rFonts w:ascii="Times New Roman" w:eastAsia="Times New Roman" w:hAnsi="Times New Roman" w:cs="Times New Roman"/>
                <w:sz w:val="24"/>
                <w:szCs w:val="24"/>
                <w:lang w:eastAsia="lv-LV"/>
              </w:rPr>
              <w:t>2</w:t>
            </w:r>
            <w:r w:rsidR="004A6E54" w:rsidRPr="00AF63C4">
              <w:rPr>
                <w:rFonts w:ascii="Times New Roman" w:eastAsia="Times New Roman" w:hAnsi="Times New Roman" w:cs="Times New Roman"/>
                <w:sz w:val="24"/>
                <w:szCs w:val="24"/>
                <w:lang w:eastAsia="lv-LV"/>
              </w:rPr>
              <w:t>. </w:t>
            </w:r>
            <w:r w:rsidR="0098569B" w:rsidRPr="00555F17">
              <w:rPr>
                <w:rFonts w:ascii="Times New Roman" w:eastAsia="Times New Roman" w:hAnsi="Times New Roman" w:cs="Times New Roman"/>
                <w:sz w:val="24"/>
                <w:szCs w:val="24"/>
                <w:lang w:eastAsia="lv-LV"/>
              </w:rPr>
              <w:t>februāra</w:t>
            </w:r>
            <w:r w:rsidR="004B307F" w:rsidRPr="00AF63C4">
              <w:rPr>
                <w:rFonts w:ascii="Times New Roman" w:eastAsia="Times New Roman" w:hAnsi="Times New Roman" w:cs="Times New Roman"/>
                <w:sz w:val="24"/>
                <w:szCs w:val="24"/>
                <w:lang w:eastAsia="lv-LV"/>
              </w:rPr>
              <w:t xml:space="preserve"> </w:t>
            </w:r>
            <w:r w:rsidRPr="00AF63C4">
              <w:rPr>
                <w:rFonts w:ascii="Times New Roman" w:eastAsia="Times New Roman" w:hAnsi="Times New Roman" w:cs="Times New Roman"/>
                <w:sz w:val="24"/>
                <w:szCs w:val="24"/>
                <w:lang w:eastAsia="lv-LV"/>
              </w:rPr>
              <w:t>redakcijā)</w:t>
            </w:r>
          </w:p>
        </w:tc>
      </w:tr>
      <w:tr w:rsidR="006E14AC" w:rsidRPr="006E14AC" w14:paraId="1B267B1E" w14:textId="77777777" w:rsidTr="00A52938">
        <w:tc>
          <w:tcPr>
            <w:tcW w:w="846" w:type="dxa"/>
          </w:tcPr>
          <w:p w14:paraId="4B19ACDF"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3.25.</w:t>
            </w:r>
          </w:p>
        </w:tc>
        <w:tc>
          <w:tcPr>
            <w:tcW w:w="8215" w:type="dxa"/>
          </w:tcPr>
          <w:p w14:paraId="3309D468" w14:textId="68266D9E" w:rsidR="00CB699B" w:rsidRPr="006E14AC" w:rsidRDefault="00076A2D" w:rsidP="008E6881">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ECC/REC (05)07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Radiofrekvenču kanālu plānojums fiksētā dienesta sistēmām, kuras izmanto 71–76 GHz un 81–86 GHz joslu (</w:t>
            </w:r>
            <w:r w:rsidR="008E6881">
              <w:rPr>
                <w:rFonts w:ascii="Times New Roman" w:eastAsia="Times New Roman" w:hAnsi="Times New Roman" w:cs="Times New Roman"/>
                <w:sz w:val="24"/>
                <w:szCs w:val="24"/>
                <w:lang w:eastAsia="lv-LV"/>
              </w:rPr>
              <w:t>2013</w:t>
            </w:r>
            <w:r w:rsidR="004A6E54" w:rsidRPr="006E14AC">
              <w:rPr>
                <w:rFonts w:ascii="Times New Roman" w:eastAsia="Times New Roman" w:hAnsi="Times New Roman" w:cs="Times New Roman"/>
                <w:sz w:val="24"/>
                <w:szCs w:val="24"/>
                <w:lang w:eastAsia="lv-LV"/>
              </w:rPr>
              <w:t xml:space="preserve">. gada </w:t>
            </w:r>
            <w:r w:rsidR="008E6881">
              <w:rPr>
                <w:rFonts w:ascii="Times New Roman" w:eastAsia="Times New Roman" w:hAnsi="Times New Roman" w:cs="Times New Roman"/>
                <w:sz w:val="24"/>
                <w:szCs w:val="24"/>
                <w:lang w:eastAsia="lv-LV"/>
              </w:rPr>
              <w:t>17</w:t>
            </w:r>
            <w:r w:rsidR="004A6E54" w:rsidRPr="006E14AC">
              <w:rPr>
                <w:rFonts w:ascii="Times New Roman" w:eastAsia="Times New Roman" w:hAnsi="Times New Roman" w:cs="Times New Roman"/>
                <w:sz w:val="24"/>
                <w:szCs w:val="24"/>
                <w:lang w:eastAsia="lv-LV"/>
              </w:rPr>
              <w:t>. </w:t>
            </w:r>
            <w:r w:rsidR="008E6881">
              <w:rPr>
                <w:rFonts w:ascii="Times New Roman" w:eastAsia="Times New Roman" w:hAnsi="Times New Roman" w:cs="Times New Roman"/>
                <w:sz w:val="24"/>
                <w:szCs w:val="24"/>
                <w:lang w:eastAsia="lv-LV"/>
              </w:rPr>
              <w:t>maija</w:t>
            </w:r>
            <w:r w:rsidR="008E6881" w:rsidRPr="006E14AC">
              <w:rPr>
                <w:rFonts w:ascii="Times New Roman" w:eastAsia="Times New Roman" w:hAnsi="Times New Roman" w:cs="Times New Roman"/>
                <w:sz w:val="24"/>
                <w:szCs w:val="24"/>
                <w:lang w:eastAsia="lv-LV"/>
              </w:rPr>
              <w:t xml:space="preserve"> </w:t>
            </w:r>
            <w:r w:rsidRPr="006E14AC">
              <w:rPr>
                <w:rFonts w:ascii="Times New Roman" w:eastAsia="Times New Roman" w:hAnsi="Times New Roman" w:cs="Times New Roman"/>
                <w:sz w:val="24"/>
                <w:szCs w:val="24"/>
                <w:lang w:eastAsia="lv-LV"/>
              </w:rPr>
              <w:t>redakcijā)</w:t>
            </w:r>
          </w:p>
        </w:tc>
      </w:tr>
      <w:tr w:rsidR="006E14AC" w:rsidRPr="006E14AC" w14:paraId="721E09FB" w14:textId="77777777" w:rsidTr="00A52938">
        <w:tc>
          <w:tcPr>
            <w:tcW w:w="846" w:type="dxa"/>
          </w:tcPr>
          <w:p w14:paraId="2E4DDF81"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3.26.</w:t>
            </w:r>
          </w:p>
        </w:tc>
        <w:tc>
          <w:tcPr>
            <w:tcW w:w="8215" w:type="dxa"/>
          </w:tcPr>
          <w:p w14:paraId="7C8414C7" w14:textId="5134DD5E"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ECC/REC/(05)08 – Frekvenču plānošana un frekvenču koordinēšana starp GSM sauszemes mobilajām sistēmām (GSM 900, GSM 1800 un GSM-R) (2021</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8</w:t>
            </w:r>
            <w:r w:rsidR="004A6E54" w:rsidRPr="006E14AC">
              <w:rPr>
                <w:rFonts w:ascii="Times New Roman" w:eastAsia="Times New Roman" w:hAnsi="Times New Roman" w:cs="Times New Roman"/>
                <w:sz w:val="24"/>
                <w:szCs w:val="24"/>
                <w:lang w:eastAsia="lv-LV"/>
              </w:rPr>
              <w:t xml:space="preserve">. oktobra </w:t>
            </w:r>
            <w:r w:rsidRPr="006E14AC">
              <w:rPr>
                <w:rFonts w:ascii="Times New Roman" w:eastAsia="Times New Roman" w:hAnsi="Times New Roman" w:cs="Times New Roman"/>
                <w:sz w:val="24"/>
                <w:szCs w:val="24"/>
                <w:lang w:eastAsia="lv-LV"/>
              </w:rPr>
              <w:t>redakcijā)</w:t>
            </w:r>
          </w:p>
        </w:tc>
      </w:tr>
      <w:tr w:rsidR="006E14AC" w:rsidRPr="006E14AC" w14:paraId="6A3E7216" w14:textId="77777777" w:rsidTr="00965AEA">
        <w:tc>
          <w:tcPr>
            <w:tcW w:w="846" w:type="dxa"/>
          </w:tcPr>
          <w:p w14:paraId="0571CD69"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3.27.</w:t>
            </w:r>
          </w:p>
        </w:tc>
        <w:tc>
          <w:tcPr>
            <w:tcW w:w="8215" w:type="dxa"/>
          </w:tcPr>
          <w:p w14:paraId="79E1E5EB" w14:textId="1F2C6B73" w:rsidR="00CB699B" w:rsidRPr="006E14AC" w:rsidRDefault="00E83839" w:rsidP="00965AEA">
            <w:pPr>
              <w:spacing w:after="0" w:line="240" w:lineRule="auto"/>
              <w:rPr>
                <w:rFonts w:ascii="Times New Roman" w:eastAsia="Times New Roman" w:hAnsi="Times New Roman"/>
                <w:sz w:val="24"/>
                <w:szCs w:val="24"/>
                <w:lang w:eastAsia="en-GB"/>
              </w:rPr>
            </w:pPr>
            <w:r w:rsidRPr="006E14AC">
              <w:rPr>
                <w:rFonts w:ascii="Times New Roman" w:eastAsia="Times New Roman" w:hAnsi="Times New Roman" w:cs="Times New Roman"/>
                <w:sz w:val="24"/>
                <w:szCs w:val="24"/>
                <w:lang w:eastAsia="lv-LV"/>
              </w:rPr>
              <w:t xml:space="preserve">(Svītrots ar MK </w:t>
            </w:r>
            <w:r w:rsidRPr="006E14AC">
              <w:rPr>
                <w:rFonts w:ascii="Times New Roman" w:eastAsia="Times New Roman" w:hAnsi="Times New Roman"/>
                <w:sz w:val="24"/>
                <w:szCs w:val="24"/>
                <w:lang w:eastAsia="en-GB"/>
              </w:rPr>
              <w:t>2023. gada 12. septembra noteikumiem Nr. 524)</w:t>
            </w:r>
          </w:p>
        </w:tc>
      </w:tr>
      <w:tr w:rsidR="006E14AC" w:rsidRPr="006E14AC" w14:paraId="3FA9BC27" w14:textId="77777777" w:rsidTr="00965AEA">
        <w:tc>
          <w:tcPr>
            <w:tcW w:w="846" w:type="dxa"/>
          </w:tcPr>
          <w:p w14:paraId="78ABB0CC" w14:textId="4DD6B8AE"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w:t>
            </w:r>
            <w:r w:rsidR="00C65750" w:rsidRPr="006E14AC">
              <w:rPr>
                <w:rFonts w:ascii="Times New Roman" w:eastAsia="Times New Roman" w:hAnsi="Times New Roman" w:cs="Times New Roman"/>
                <w:sz w:val="24"/>
                <w:szCs w:val="24"/>
                <w:lang w:eastAsia="lv-LV"/>
              </w:rPr>
              <w:t>28.</w:t>
            </w:r>
          </w:p>
        </w:tc>
        <w:tc>
          <w:tcPr>
            <w:tcW w:w="8215" w:type="dxa"/>
          </w:tcPr>
          <w:p w14:paraId="6DAA7725"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ECC/REC/(10)02 – Par Globālās navigācijas satelītu sistēmas (GNSS) atkārtotāju atļauju režīmu </w:t>
            </w:r>
          </w:p>
        </w:tc>
      </w:tr>
      <w:tr w:rsidR="006E14AC" w:rsidRPr="006E14AC" w14:paraId="4E38927A" w14:textId="77777777" w:rsidTr="00965AEA">
        <w:tc>
          <w:tcPr>
            <w:tcW w:w="846" w:type="dxa"/>
          </w:tcPr>
          <w:p w14:paraId="6DA40BCB" w14:textId="7C4E6F21"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3.2</w:t>
            </w:r>
            <w:r w:rsidR="003835F2" w:rsidRPr="006E14AC">
              <w:rPr>
                <w:rFonts w:ascii="Times New Roman" w:eastAsia="Times New Roman" w:hAnsi="Times New Roman" w:cs="Times New Roman"/>
                <w:sz w:val="24"/>
                <w:szCs w:val="24"/>
                <w:lang w:eastAsia="lv-LV"/>
              </w:rPr>
              <w:t>9.</w:t>
            </w:r>
          </w:p>
        </w:tc>
        <w:tc>
          <w:tcPr>
            <w:tcW w:w="8215" w:type="dxa"/>
          </w:tcPr>
          <w:p w14:paraId="49654C9A"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ECC/REC/(11)01 – vadlīnijas frekvenču bloku piešķiršanai fiksētajām bezvadu sistēmām 24,5–26,5 GHz, 27,5–29,5 GHz un 31,8–33,4 GHz frekvenču joslās</w:t>
            </w:r>
          </w:p>
        </w:tc>
      </w:tr>
      <w:tr w:rsidR="006E14AC" w:rsidRPr="006E14AC" w14:paraId="042C4C20" w14:textId="77777777" w:rsidTr="00A52938">
        <w:tc>
          <w:tcPr>
            <w:tcW w:w="846" w:type="dxa"/>
          </w:tcPr>
          <w:p w14:paraId="6B5826B0" w14:textId="23B18C50"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w:t>
            </w:r>
            <w:r w:rsidR="003835F2" w:rsidRPr="006E14AC">
              <w:rPr>
                <w:rFonts w:ascii="Times New Roman" w:eastAsia="Times New Roman" w:hAnsi="Times New Roman" w:cs="Times New Roman"/>
                <w:sz w:val="24"/>
                <w:szCs w:val="24"/>
                <w:lang w:eastAsia="lv-LV"/>
              </w:rPr>
              <w:t>30.</w:t>
            </w:r>
          </w:p>
        </w:tc>
        <w:tc>
          <w:tcPr>
            <w:tcW w:w="8215" w:type="dxa"/>
          </w:tcPr>
          <w:p w14:paraId="2FD11C02" w14:textId="4B49EBF4"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ERC 32. Ziņojums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Iesācēju radioamatieru eksāmena programma un iesācēju radioamatieru eksāmena apliecība CEPT un ne-CEPT valstīs (2016</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7</w:t>
            </w:r>
            <w:r w:rsidR="004A6E54" w:rsidRPr="006E14AC">
              <w:rPr>
                <w:rFonts w:ascii="Times New Roman" w:eastAsia="Times New Roman" w:hAnsi="Times New Roman" w:cs="Times New Roman"/>
                <w:sz w:val="24"/>
                <w:szCs w:val="24"/>
                <w:lang w:eastAsia="lv-LV"/>
              </w:rPr>
              <w:t xml:space="preserve">. oktobra </w:t>
            </w:r>
            <w:r w:rsidRPr="006E14AC">
              <w:rPr>
                <w:rFonts w:ascii="Times New Roman" w:eastAsia="Times New Roman" w:hAnsi="Times New Roman" w:cs="Times New Roman"/>
                <w:sz w:val="24"/>
                <w:szCs w:val="24"/>
                <w:lang w:eastAsia="lv-LV"/>
              </w:rPr>
              <w:t>redakcijā)</w:t>
            </w:r>
          </w:p>
        </w:tc>
      </w:tr>
    </w:tbl>
    <w:p w14:paraId="391DDB20" w14:textId="77777777" w:rsidR="004E456F" w:rsidRPr="006E14AC" w:rsidRDefault="008E0D70" w:rsidP="00965AEA">
      <w:pPr>
        <w:spacing w:before="100" w:beforeAutospacing="1" w:after="100" w:afterAutospacing="1" w:line="240" w:lineRule="auto"/>
        <w:rPr>
          <w:rFonts w:ascii="Times New Roman" w:hAnsi="Times New Roman" w:cs="Times New Roman"/>
          <w:b/>
          <w:bCs/>
          <w:sz w:val="24"/>
          <w:szCs w:val="24"/>
        </w:rPr>
      </w:pPr>
      <w:r w:rsidRPr="006E14AC">
        <w:rPr>
          <w:rFonts w:ascii="Times New Roman" w:eastAsia="Times New Roman" w:hAnsi="Times New Roman" w:cs="Times New Roman"/>
          <w:b/>
          <w:bCs/>
          <w:sz w:val="24"/>
          <w:szCs w:val="24"/>
          <w:lang w:eastAsia="lv-LV"/>
        </w:rPr>
        <w:t xml:space="preserve">4. </w:t>
      </w:r>
      <w:r w:rsidR="004E456F" w:rsidRPr="006E14AC">
        <w:rPr>
          <w:rFonts w:ascii="Times New Roman" w:eastAsia="Times New Roman" w:hAnsi="Times New Roman" w:cs="Times New Roman"/>
          <w:b/>
          <w:bCs/>
          <w:sz w:val="24"/>
          <w:szCs w:val="24"/>
          <w:lang w:eastAsia="lv-LV"/>
        </w:rPr>
        <w:t>ITU-R rekomendācija, ITU rezolūcija</w:t>
      </w:r>
    </w:p>
    <w:tbl>
      <w:tblPr>
        <w:tblStyle w:val="TableGrid"/>
        <w:tblW w:w="0" w:type="auto"/>
        <w:tblLook w:val="04A0" w:firstRow="1" w:lastRow="0" w:firstColumn="1" w:lastColumn="0" w:noHBand="0" w:noVBand="1"/>
      </w:tblPr>
      <w:tblGrid>
        <w:gridCol w:w="846"/>
        <w:gridCol w:w="8215"/>
      </w:tblGrid>
      <w:tr w:rsidR="006E14AC" w:rsidRPr="006E14AC" w14:paraId="643A674A" w14:textId="77777777" w:rsidTr="00965AEA">
        <w:tc>
          <w:tcPr>
            <w:tcW w:w="846" w:type="dxa"/>
            <w:vAlign w:val="center"/>
          </w:tcPr>
          <w:p w14:paraId="496C2EFE" w14:textId="77777777" w:rsidR="00CB699B" w:rsidRPr="006E14AC" w:rsidRDefault="008B75E5" w:rsidP="00965AEA">
            <w:pPr>
              <w:spacing w:after="120" w:line="315" w:lineRule="atLeast"/>
              <w:jc w:val="center"/>
              <w:rPr>
                <w:rFonts w:ascii="Times New Roman" w:eastAsia="Times New Roman" w:hAnsi="Times New Roman" w:cs="Times New Roman"/>
                <w:sz w:val="24"/>
                <w:szCs w:val="24"/>
                <w:lang w:eastAsia="lv-LV"/>
              </w:rPr>
            </w:pPr>
            <w:r w:rsidRPr="006E14AC">
              <w:rPr>
                <w:rFonts w:ascii="Times New Roman" w:hAnsi="Times New Roman" w:cs="Times New Roman"/>
                <w:sz w:val="24"/>
                <w:szCs w:val="24"/>
              </w:rPr>
              <w:lastRenderedPageBreak/>
              <w:t>Nr. </w:t>
            </w:r>
            <w:r w:rsidRPr="006E14AC">
              <w:rPr>
                <w:rFonts w:ascii="Times New Roman" w:hAnsi="Times New Roman" w:cs="Times New Roman"/>
                <w:sz w:val="24"/>
                <w:szCs w:val="24"/>
              </w:rPr>
              <w:br/>
              <w:t>p. k.</w:t>
            </w:r>
          </w:p>
        </w:tc>
        <w:tc>
          <w:tcPr>
            <w:tcW w:w="8215" w:type="dxa"/>
            <w:vAlign w:val="center"/>
          </w:tcPr>
          <w:p w14:paraId="5653B458" w14:textId="77777777" w:rsidR="00CB699B" w:rsidRPr="006E14AC" w:rsidRDefault="008B75E5" w:rsidP="00965AEA">
            <w:pPr>
              <w:spacing w:after="120" w:line="315" w:lineRule="atLeast"/>
              <w:jc w:val="center"/>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Nosaukums</w:t>
            </w:r>
          </w:p>
        </w:tc>
      </w:tr>
      <w:tr w:rsidR="006E14AC" w:rsidRPr="006E14AC" w14:paraId="07C8D702" w14:textId="77777777" w:rsidTr="00965AEA">
        <w:tc>
          <w:tcPr>
            <w:tcW w:w="846" w:type="dxa"/>
          </w:tcPr>
          <w:p w14:paraId="2F995B20"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4.1.</w:t>
            </w:r>
          </w:p>
        </w:tc>
        <w:tc>
          <w:tcPr>
            <w:tcW w:w="8215" w:type="dxa"/>
          </w:tcPr>
          <w:p w14:paraId="29499AEA" w14:textId="00638462"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ITU-R F.636-5 Radiofrekvenču kanālu plānojums fiksētām bezvadu sistēmām, kas darbojas 14,4</w:t>
            </w:r>
            <w:r w:rsidR="00582F1F"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15,35 GHz joslā</w:t>
            </w:r>
            <w:r w:rsidR="0047343C" w:rsidRPr="006E14AC">
              <w:rPr>
                <w:rFonts w:ascii="Times New Roman" w:eastAsia="Times New Roman" w:hAnsi="Times New Roman" w:cs="Times New Roman"/>
                <w:sz w:val="24"/>
                <w:szCs w:val="24"/>
                <w:lang w:eastAsia="lv-LV"/>
              </w:rPr>
              <w:t xml:space="preserve"> (</w:t>
            </w:r>
            <w:r w:rsidR="00721557" w:rsidRPr="006E14AC">
              <w:rPr>
                <w:rFonts w:ascii="Times New Roman" w:eastAsia="Times New Roman" w:hAnsi="Times New Roman" w:cs="Times New Roman"/>
                <w:sz w:val="24"/>
                <w:szCs w:val="24"/>
                <w:lang w:eastAsia="lv-LV"/>
              </w:rPr>
              <w:t>2019</w:t>
            </w:r>
            <w:r w:rsidR="004A6E54" w:rsidRPr="006E14AC">
              <w:rPr>
                <w:rFonts w:ascii="Times New Roman" w:eastAsia="Times New Roman" w:hAnsi="Times New Roman" w:cs="Times New Roman"/>
                <w:sz w:val="24"/>
                <w:szCs w:val="24"/>
                <w:lang w:eastAsia="lv-LV"/>
              </w:rPr>
              <w:t xml:space="preserve">. gada </w:t>
            </w:r>
            <w:r w:rsidR="00721557" w:rsidRPr="006E14AC">
              <w:rPr>
                <w:rFonts w:ascii="Times New Roman" w:eastAsia="Times New Roman" w:hAnsi="Times New Roman" w:cs="Times New Roman"/>
                <w:sz w:val="24"/>
                <w:szCs w:val="24"/>
                <w:lang w:eastAsia="lv-LV"/>
              </w:rPr>
              <w:t>1</w:t>
            </w:r>
            <w:r w:rsidR="00541FA3" w:rsidRPr="006E14AC">
              <w:rPr>
                <w:rFonts w:ascii="Times New Roman" w:eastAsia="Times New Roman" w:hAnsi="Times New Roman" w:cs="Times New Roman"/>
                <w:sz w:val="24"/>
                <w:szCs w:val="24"/>
                <w:lang w:eastAsia="lv-LV"/>
              </w:rPr>
              <w:t>8</w:t>
            </w:r>
            <w:r w:rsidR="00721557" w:rsidRPr="006E14AC">
              <w:rPr>
                <w:rFonts w:ascii="Times New Roman" w:eastAsia="Times New Roman" w:hAnsi="Times New Roman" w:cs="Times New Roman"/>
                <w:sz w:val="24"/>
                <w:szCs w:val="24"/>
                <w:lang w:eastAsia="lv-LV"/>
              </w:rPr>
              <w:t>.</w:t>
            </w:r>
            <w:r w:rsidR="00B85C8C" w:rsidRPr="006E14AC">
              <w:rPr>
                <w:rFonts w:ascii="Times New Roman" w:eastAsia="Times New Roman" w:hAnsi="Times New Roman" w:cs="Times New Roman"/>
                <w:sz w:val="24"/>
                <w:szCs w:val="24"/>
                <w:lang w:eastAsia="lv-LV"/>
              </w:rPr>
              <w:t> </w:t>
            </w:r>
            <w:r w:rsidR="00541FA3" w:rsidRPr="006E14AC">
              <w:rPr>
                <w:rFonts w:ascii="Times New Roman" w:eastAsia="Times New Roman" w:hAnsi="Times New Roman" w:cs="Times New Roman"/>
                <w:sz w:val="24"/>
                <w:szCs w:val="24"/>
                <w:lang w:eastAsia="lv-LV"/>
              </w:rPr>
              <w:t>novembris</w:t>
            </w:r>
            <w:r w:rsidR="00721557" w:rsidRPr="006E14AC">
              <w:rPr>
                <w:rFonts w:ascii="Times New Roman" w:eastAsia="Times New Roman" w:hAnsi="Times New Roman" w:cs="Times New Roman"/>
                <w:sz w:val="24"/>
                <w:szCs w:val="24"/>
                <w:lang w:eastAsia="lv-LV"/>
              </w:rPr>
              <w:t>)</w:t>
            </w:r>
          </w:p>
        </w:tc>
      </w:tr>
      <w:tr w:rsidR="006E14AC" w:rsidRPr="006E14AC" w14:paraId="1B3DA406" w14:textId="77777777" w:rsidTr="00965AEA">
        <w:tc>
          <w:tcPr>
            <w:tcW w:w="846" w:type="dxa"/>
          </w:tcPr>
          <w:p w14:paraId="3EED0C97"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4.2.</w:t>
            </w:r>
          </w:p>
        </w:tc>
        <w:tc>
          <w:tcPr>
            <w:tcW w:w="8215" w:type="dxa"/>
          </w:tcPr>
          <w:p w14:paraId="2708E4C8" w14:textId="48A73C4A"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ITU-R F.637-4 Radiofrekvenču kanālu plānojums fiksētām bezvadu sistēmām, kas darbojas 21,2</w:t>
            </w:r>
            <w:r w:rsidR="00582F1F"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23,6 GHz joslā</w:t>
            </w:r>
            <w:r w:rsidR="00A42B1E" w:rsidRPr="006E14AC">
              <w:rPr>
                <w:rFonts w:ascii="Times New Roman" w:eastAsia="Times New Roman" w:hAnsi="Times New Roman" w:cs="Times New Roman"/>
                <w:sz w:val="24"/>
                <w:szCs w:val="24"/>
                <w:lang w:eastAsia="lv-LV"/>
              </w:rPr>
              <w:t xml:space="preserve"> (</w:t>
            </w:r>
            <w:r w:rsidR="0047343C" w:rsidRPr="006E14AC">
              <w:rPr>
                <w:rFonts w:ascii="Times New Roman" w:eastAsia="Times New Roman" w:hAnsi="Times New Roman" w:cs="Times New Roman"/>
                <w:sz w:val="24"/>
                <w:szCs w:val="24"/>
                <w:lang w:eastAsia="lv-LV"/>
              </w:rPr>
              <w:t>2012</w:t>
            </w:r>
            <w:r w:rsidR="004A6E54" w:rsidRPr="006E14AC">
              <w:rPr>
                <w:rFonts w:ascii="Times New Roman" w:eastAsia="Times New Roman" w:hAnsi="Times New Roman" w:cs="Times New Roman"/>
                <w:sz w:val="24"/>
                <w:szCs w:val="24"/>
                <w:lang w:eastAsia="lv-LV"/>
              </w:rPr>
              <w:t xml:space="preserve">. gada </w:t>
            </w:r>
            <w:r w:rsidR="0047343C" w:rsidRPr="006E14AC">
              <w:rPr>
                <w:rFonts w:ascii="Times New Roman" w:eastAsia="Times New Roman" w:hAnsi="Times New Roman" w:cs="Times New Roman"/>
                <w:sz w:val="24"/>
                <w:szCs w:val="24"/>
                <w:lang w:eastAsia="lv-LV"/>
              </w:rPr>
              <w:t>15.</w:t>
            </w:r>
            <w:r w:rsidR="00B85C8C" w:rsidRPr="006E14AC">
              <w:rPr>
                <w:rFonts w:ascii="Times New Roman" w:eastAsia="Times New Roman" w:hAnsi="Times New Roman" w:cs="Times New Roman"/>
                <w:sz w:val="24"/>
                <w:szCs w:val="24"/>
                <w:lang w:eastAsia="lv-LV"/>
              </w:rPr>
              <w:t> </w:t>
            </w:r>
            <w:r w:rsidR="0047343C" w:rsidRPr="006E14AC">
              <w:rPr>
                <w:rFonts w:ascii="Times New Roman" w:eastAsia="Times New Roman" w:hAnsi="Times New Roman" w:cs="Times New Roman"/>
                <w:sz w:val="24"/>
                <w:szCs w:val="24"/>
                <w:lang w:eastAsia="lv-LV"/>
              </w:rPr>
              <w:t>marts)</w:t>
            </w:r>
          </w:p>
        </w:tc>
      </w:tr>
      <w:tr w:rsidR="006E14AC" w:rsidRPr="006E14AC" w14:paraId="4A4B5D64" w14:textId="77777777" w:rsidTr="00965AEA">
        <w:tc>
          <w:tcPr>
            <w:tcW w:w="846" w:type="dxa"/>
          </w:tcPr>
          <w:p w14:paraId="26CA4C14"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4.3.</w:t>
            </w:r>
          </w:p>
        </w:tc>
        <w:tc>
          <w:tcPr>
            <w:tcW w:w="8215" w:type="dxa"/>
          </w:tcPr>
          <w:p w14:paraId="39D56333" w14:textId="52C0CAB8"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ITU-R M.1036-6 Frekvenču plānojums starptautisko mobilo sakaru (IMT) zemes komponentes ieviešanai ITU </w:t>
            </w:r>
            <w:proofErr w:type="spellStart"/>
            <w:r w:rsidRPr="006E14AC">
              <w:rPr>
                <w:rFonts w:ascii="Times New Roman" w:eastAsia="Times New Roman" w:hAnsi="Times New Roman" w:cs="Times New Roman"/>
                <w:sz w:val="24"/>
                <w:szCs w:val="24"/>
                <w:lang w:eastAsia="lv-LV"/>
              </w:rPr>
              <w:t>Radionoteikumos</w:t>
            </w:r>
            <w:proofErr w:type="spellEnd"/>
            <w:r w:rsidRPr="006E14AC">
              <w:rPr>
                <w:rFonts w:ascii="Times New Roman" w:eastAsia="Times New Roman" w:hAnsi="Times New Roman" w:cs="Times New Roman"/>
                <w:sz w:val="24"/>
                <w:szCs w:val="24"/>
                <w:lang w:eastAsia="lv-LV"/>
              </w:rPr>
              <w:t xml:space="preserve"> IMT noteiktajās joslās</w:t>
            </w:r>
            <w:r w:rsidR="00890F03" w:rsidRPr="006E14AC">
              <w:rPr>
                <w:rFonts w:ascii="Times New Roman" w:eastAsia="Times New Roman" w:hAnsi="Times New Roman" w:cs="Times New Roman"/>
                <w:sz w:val="24"/>
                <w:szCs w:val="24"/>
                <w:lang w:eastAsia="lv-LV"/>
              </w:rPr>
              <w:t xml:space="preserve"> (2019</w:t>
            </w:r>
            <w:r w:rsidR="004A6E54" w:rsidRPr="006E14AC">
              <w:rPr>
                <w:rFonts w:ascii="Times New Roman" w:eastAsia="Times New Roman" w:hAnsi="Times New Roman" w:cs="Times New Roman"/>
                <w:sz w:val="24"/>
                <w:szCs w:val="24"/>
                <w:lang w:eastAsia="lv-LV"/>
              </w:rPr>
              <w:t xml:space="preserve">. gada </w:t>
            </w:r>
            <w:r w:rsidR="00A17C6D" w:rsidRPr="006E14AC">
              <w:rPr>
                <w:rFonts w:ascii="Times New Roman" w:eastAsia="Times New Roman" w:hAnsi="Times New Roman" w:cs="Times New Roman"/>
                <w:sz w:val="24"/>
                <w:szCs w:val="24"/>
                <w:lang w:eastAsia="lv-LV"/>
              </w:rPr>
              <w:t>24.</w:t>
            </w:r>
            <w:r w:rsidR="00B85C8C" w:rsidRPr="006E14AC">
              <w:rPr>
                <w:rFonts w:ascii="Times New Roman" w:eastAsia="Times New Roman" w:hAnsi="Times New Roman" w:cs="Times New Roman"/>
                <w:sz w:val="24"/>
                <w:szCs w:val="24"/>
                <w:lang w:eastAsia="lv-LV"/>
              </w:rPr>
              <w:t> </w:t>
            </w:r>
            <w:r w:rsidR="00A42B1E" w:rsidRPr="006E14AC">
              <w:rPr>
                <w:rFonts w:ascii="Times New Roman" w:eastAsia="Times New Roman" w:hAnsi="Times New Roman" w:cs="Times New Roman"/>
                <w:sz w:val="24"/>
                <w:szCs w:val="24"/>
                <w:lang w:eastAsia="lv-LV"/>
              </w:rPr>
              <w:t>oktobris)</w:t>
            </w:r>
          </w:p>
        </w:tc>
      </w:tr>
      <w:tr w:rsidR="006E14AC" w:rsidRPr="006E14AC" w14:paraId="426DB58D" w14:textId="77777777" w:rsidTr="00965AEA">
        <w:tc>
          <w:tcPr>
            <w:tcW w:w="846" w:type="dxa"/>
          </w:tcPr>
          <w:p w14:paraId="484A9234"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4.4.</w:t>
            </w:r>
          </w:p>
        </w:tc>
        <w:tc>
          <w:tcPr>
            <w:tcW w:w="8215" w:type="dxa"/>
          </w:tcPr>
          <w:p w14:paraId="6FD7BCAA" w14:textId="492DD4C0"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ITU-R M.1174-4 Tehniskie parametri radioiekārtām, ko izmanto sakariem uz kuģa frekvenču joslās no 450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līdz 470 </w:t>
            </w:r>
            <w:proofErr w:type="spellStart"/>
            <w:r w:rsidRPr="006E14AC">
              <w:rPr>
                <w:rFonts w:ascii="Times New Roman" w:eastAsia="Times New Roman" w:hAnsi="Times New Roman" w:cs="Times New Roman"/>
                <w:sz w:val="24"/>
                <w:szCs w:val="24"/>
                <w:lang w:eastAsia="lv-LV"/>
              </w:rPr>
              <w:t>MHz</w:t>
            </w:r>
            <w:proofErr w:type="spellEnd"/>
            <w:r w:rsidR="00FE2CE0" w:rsidRPr="006E14AC">
              <w:rPr>
                <w:rFonts w:ascii="Times New Roman" w:eastAsia="Times New Roman" w:hAnsi="Times New Roman" w:cs="Times New Roman"/>
                <w:sz w:val="24"/>
                <w:szCs w:val="24"/>
                <w:lang w:eastAsia="lv-LV"/>
              </w:rPr>
              <w:t xml:space="preserve"> </w:t>
            </w:r>
            <w:r w:rsidR="00430BD7" w:rsidRPr="006E14AC">
              <w:rPr>
                <w:rFonts w:ascii="Times New Roman" w:eastAsia="Times New Roman" w:hAnsi="Times New Roman" w:cs="Times New Roman"/>
                <w:sz w:val="24"/>
                <w:szCs w:val="24"/>
                <w:lang w:eastAsia="lv-LV"/>
              </w:rPr>
              <w:t>(2019</w:t>
            </w:r>
            <w:r w:rsidR="004A6E54" w:rsidRPr="006E14AC">
              <w:rPr>
                <w:rFonts w:ascii="Times New Roman" w:eastAsia="Times New Roman" w:hAnsi="Times New Roman" w:cs="Times New Roman"/>
                <w:sz w:val="24"/>
                <w:szCs w:val="24"/>
                <w:lang w:eastAsia="lv-LV"/>
              </w:rPr>
              <w:t xml:space="preserve">. gada </w:t>
            </w:r>
            <w:r w:rsidR="00A42EC5" w:rsidRPr="006E14AC">
              <w:rPr>
                <w:rFonts w:ascii="Times New Roman" w:eastAsia="Times New Roman" w:hAnsi="Times New Roman" w:cs="Times New Roman"/>
                <w:sz w:val="24"/>
                <w:szCs w:val="24"/>
                <w:lang w:eastAsia="lv-LV"/>
              </w:rPr>
              <w:t>24.</w:t>
            </w:r>
            <w:r w:rsidR="00B85C8C" w:rsidRPr="006E14AC">
              <w:rPr>
                <w:rFonts w:ascii="Times New Roman" w:eastAsia="Times New Roman" w:hAnsi="Times New Roman" w:cs="Times New Roman"/>
                <w:sz w:val="24"/>
                <w:szCs w:val="24"/>
                <w:lang w:eastAsia="lv-LV"/>
              </w:rPr>
              <w:t> </w:t>
            </w:r>
            <w:r w:rsidR="00430BD7" w:rsidRPr="006E14AC">
              <w:rPr>
                <w:rFonts w:ascii="Times New Roman" w:eastAsia="Times New Roman" w:hAnsi="Times New Roman" w:cs="Times New Roman"/>
                <w:sz w:val="24"/>
                <w:szCs w:val="24"/>
                <w:lang w:eastAsia="lv-LV"/>
              </w:rPr>
              <w:t>oktobris)</w:t>
            </w:r>
          </w:p>
        </w:tc>
      </w:tr>
      <w:tr w:rsidR="006E14AC" w:rsidRPr="006E14AC" w14:paraId="4473AD00" w14:textId="77777777" w:rsidTr="00965AEA">
        <w:tc>
          <w:tcPr>
            <w:tcW w:w="846" w:type="dxa"/>
          </w:tcPr>
          <w:p w14:paraId="05DABC5E"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4.5.</w:t>
            </w:r>
          </w:p>
        </w:tc>
        <w:tc>
          <w:tcPr>
            <w:tcW w:w="8215" w:type="dxa"/>
          </w:tcPr>
          <w:p w14:paraId="337902F8" w14:textId="7B2C5932"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ITU-R SA.2045-0 Pamatnosacījumi 401</w:t>
            </w:r>
            <w:r w:rsidR="00582F1F"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403 </w:t>
            </w:r>
            <w:proofErr w:type="spellStart"/>
            <w:r w:rsidRPr="006E14AC">
              <w:rPr>
                <w:rFonts w:ascii="Times New Roman" w:eastAsia="Times New Roman" w:hAnsi="Times New Roman" w:cs="Times New Roman"/>
                <w:sz w:val="24"/>
                <w:szCs w:val="24"/>
                <w:lang w:eastAsia="lv-LV"/>
              </w:rPr>
              <w:t>MHz</w:t>
            </w:r>
            <w:proofErr w:type="spellEnd"/>
            <w:r w:rsidRPr="006E14AC">
              <w:rPr>
                <w:rFonts w:ascii="Times New Roman" w:eastAsia="Times New Roman" w:hAnsi="Times New Roman" w:cs="Times New Roman"/>
                <w:sz w:val="24"/>
                <w:szCs w:val="24"/>
                <w:lang w:eastAsia="lv-LV"/>
              </w:rPr>
              <w:t xml:space="preserve"> radiofrekvenču joslas sadalīšanai un koplietošanai nākotnes ilgtermiņa saskaņotai izmantošanai datu savākšanas sistēmām ģeostacionārajās un neģeostacionārajās </w:t>
            </w:r>
            <w:proofErr w:type="spellStart"/>
            <w:r w:rsidRPr="006E14AC">
              <w:rPr>
                <w:rFonts w:ascii="Times New Roman" w:eastAsia="Times New Roman" w:hAnsi="Times New Roman" w:cs="Times New Roman"/>
                <w:sz w:val="24"/>
                <w:szCs w:val="24"/>
                <w:lang w:eastAsia="lv-LV"/>
              </w:rPr>
              <w:t>MetSat</w:t>
            </w:r>
            <w:proofErr w:type="spellEnd"/>
            <w:r w:rsidRPr="006E14AC">
              <w:rPr>
                <w:rFonts w:ascii="Times New Roman" w:eastAsia="Times New Roman" w:hAnsi="Times New Roman" w:cs="Times New Roman"/>
                <w:sz w:val="24"/>
                <w:szCs w:val="24"/>
                <w:lang w:eastAsia="lv-LV"/>
              </w:rPr>
              <w:t xml:space="preserve"> un Zemes izpētes satelītu sistēmās</w:t>
            </w:r>
            <w:r w:rsidR="00FE2CE0" w:rsidRPr="006E14AC">
              <w:rPr>
                <w:rFonts w:ascii="Times New Roman" w:eastAsia="Times New Roman" w:hAnsi="Times New Roman" w:cs="Times New Roman"/>
                <w:sz w:val="24"/>
                <w:szCs w:val="24"/>
                <w:lang w:eastAsia="lv-LV"/>
              </w:rPr>
              <w:t xml:space="preserve"> (2013</w:t>
            </w:r>
            <w:r w:rsidR="004A6E54" w:rsidRPr="006E14AC">
              <w:rPr>
                <w:rFonts w:ascii="Times New Roman" w:eastAsia="Times New Roman" w:hAnsi="Times New Roman" w:cs="Times New Roman"/>
                <w:sz w:val="24"/>
                <w:szCs w:val="24"/>
                <w:lang w:eastAsia="lv-LV"/>
              </w:rPr>
              <w:t xml:space="preserve">. gada </w:t>
            </w:r>
            <w:r w:rsidR="00C4646E" w:rsidRPr="006E14AC">
              <w:rPr>
                <w:rFonts w:ascii="Times New Roman" w:eastAsia="Times New Roman" w:hAnsi="Times New Roman" w:cs="Times New Roman"/>
                <w:sz w:val="24"/>
                <w:szCs w:val="24"/>
                <w:lang w:eastAsia="lv-LV"/>
              </w:rPr>
              <w:t>10</w:t>
            </w:r>
            <w:r w:rsidR="004A6E54" w:rsidRPr="006E14AC">
              <w:rPr>
                <w:rFonts w:ascii="Times New Roman" w:eastAsia="Times New Roman" w:hAnsi="Times New Roman" w:cs="Times New Roman"/>
                <w:sz w:val="24"/>
                <w:szCs w:val="24"/>
                <w:lang w:eastAsia="lv-LV"/>
              </w:rPr>
              <w:t>. decembris</w:t>
            </w:r>
            <w:r w:rsidR="00FE2CE0" w:rsidRPr="006E14AC">
              <w:rPr>
                <w:rFonts w:ascii="Times New Roman" w:eastAsia="Times New Roman" w:hAnsi="Times New Roman" w:cs="Times New Roman"/>
                <w:sz w:val="24"/>
                <w:szCs w:val="24"/>
                <w:lang w:eastAsia="lv-LV"/>
              </w:rPr>
              <w:t>)</w:t>
            </w:r>
          </w:p>
        </w:tc>
      </w:tr>
      <w:tr w:rsidR="008129E1" w:rsidRPr="006E14AC" w14:paraId="739A6A4F" w14:textId="77777777" w:rsidTr="00965AEA">
        <w:tc>
          <w:tcPr>
            <w:tcW w:w="846" w:type="dxa"/>
          </w:tcPr>
          <w:p w14:paraId="2525DE80" w14:textId="65735FB5" w:rsidR="008129E1" w:rsidRPr="006E14AC" w:rsidRDefault="00BC3CAC">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4.6.</w:t>
            </w:r>
          </w:p>
        </w:tc>
        <w:tc>
          <w:tcPr>
            <w:tcW w:w="8215" w:type="dxa"/>
          </w:tcPr>
          <w:p w14:paraId="38D58D4C" w14:textId="4C102F10" w:rsidR="000B32E4" w:rsidRPr="006E14AC" w:rsidRDefault="006E2F28" w:rsidP="00F0190D">
            <w:pPr>
              <w:spacing w:after="120" w:line="240" w:lineRule="auto"/>
              <w:rPr>
                <w:rFonts w:ascii="Times New Roman" w:eastAsia="Times New Roman" w:hAnsi="Times New Roman" w:cs="Times New Roman"/>
                <w:sz w:val="24"/>
                <w:szCs w:val="24"/>
                <w:lang w:eastAsia="lv-LV"/>
              </w:rPr>
            </w:pPr>
            <w:r w:rsidRPr="006E14AC">
              <w:rPr>
                <w:rFonts w:ascii="Times New Roman" w:hAnsi="Times New Roman" w:cs="Times New Roman"/>
                <w:sz w:val="24"/>
                <w:szCs w:val="24"/>
              </w:rPr>
              <w:t>ITU-R F.</w:t>
            </w:r>
            <w:r w:rsidR="001A6A63" w:rsidRPr="006E14AC">
              <w:rPr>
                <w:rFonts w:ascii="Times New Roman" w:hAnsi="Times New Roman" w:cs="Times New Roman"/>
                <w:sz w:val="24"/>
                <w:szCs w:val="24"/>
              </w:rPr>
              <w:t>1</w:t>
            </w:r>
            <w:r w:rsidR="002F01EE" w:rsidRPr="006E14AC">
              <w:rPr>
                <w:rFonts w:ascii="Times New Roman" w:hAnsi="Times New Roman" w:cs="Times New Roman"/>
                <w:sz w:val="24"/>
                <w:szCs w:val="24"/>
              </w:rPr>
              <w:t>4</w:t>
            </w:r>
            <w:r w:rsidR="00C9788E" w:rsidRPr="006E14AC">
              <w:rPr>
                <w:rFonts w:ascii="Times New Roman" w:hAnsi="Times New Roman" w:cs="Times New Roman"/>
                <w:sz w:val="24"/>
                <w:szCs w:val="24"/>
              </w:rPr>
              <w:t>97</w:t>
            </w:r>
            <w:r w:rsidRPr="006E14AC">
              <w:rPr>
                <w:rFonts w:ascii="Times New Roman" w:hAnsi="Times New Roman" w:cs="Times New Roman"/>
                <w:sz w:val="24"/>
                <w:szCs w:val="24"/>
              </w:rPr>
              <w:t>-</w:t>
            </w:r>
            <w:r w:rsidR="002F01EE" w:rsidRPr="006E14AC">
              <w:rPr>
                <w:rFonts w:ascii="Times New Roman" w:hAnsi="Times New Roman" w:cs="Times New Roman"/>
                <w:sz w:val="24"/>
                <w:szCs w:val="24"/>
              </w:rPr>
              <w:t>2</w:t>
            </w:r>
            <w:r w:rsidRPr="006E14AC">
              <w:rPr>
                <w:rFonts w:ascii="Times New Roman" w:hAnsi="Times New Roman" w:cs="Times New Roman"/>
                <w:sz w:val="24"/>
                <w:szCs w:val="24"/>
              </w:rPr>
              <w:t xml:space="preserve"> Radiofrekvenču kanālu plānojums fiksētām bezvadu sistēmām, kas darbojas 55</w:t>
            </w:r>
            <w:r w:rsidR="00582F1F" w:rsidRPr="006E14AC">
              <w:rPr>
                <w:rFonts w:ascii="Times New Roman" w:hAnsi="Times New Roman" w:cs="Times New Roman"/>
                <w:sz w:val="24"/>
                <w:szCs w:val="24"/>
              </w:rPr>
              <w:t>,</w:t>
            </w:r>
            <w:r w:rsidRPr="006E14AC">
              <w:rPr>
                <w:rFonts w:ascii="Times New Roman" w:hAnsi="Times New Roman" w:cs="Times New Roman"/>
                <w:sz w:val="24"/>
                <w:szCs w:val="24"/>
              </w:rPr>
              <w:t>78</w:t>
            </w:r>
            <w:r w:rsidR="00582F1F" w:rsidRPr="006E14AC">
              <w:rPr>
                <w:rFonts w:ascii="Times New Roman" w:eastAsia="Times New Roman" w:hAnsi="Times New Roman" w:cs="Times New Roman"/>
                <w:sz w:val="24"/>
                <w:szCs w:val="24"/>
                <w:lang w:eastAsia="lv-LV"/>
              </w:rPr>
              <w:t>–</w:t>
            </w:r>
            <w:r w:rsidRPr="006E14AC">
              <w:rPr>
                <w:rFonts w:ascii="Times New Roman" w:hAnsi="Times New Roman" w:cs="Times New Roman"/>
                <w:sz w:val="24"/>
                <w:szCs w:val="24"/>
              </w:rPr>
              <w:t>66 GHz joslā</w:t>
            </w:r>
            <w:r w:rsidR="00251324" w:rsidRPr="006E14AC">
              <w:rPr>
                <w:rFonts w:ascii="Times New Roman" w:hAnsi="Times New Roman" w:cs="Times New Roman"/>
                <w:sz w:val="24"/>
                <w:szCs w:val="24"/>
              </w:rPr>
              <w:t xml:space="preserve"> </w:t>
            </w:r>
            <w:r w:rsidR="007B76F5" w:rsidRPr="006E14AC">
              <w:rPr>
                <w:rFonts w:ascii="Times New Roman" w:hAnsi="Times New Roman" w:cs="Times New Roman"/>
                <w:sz w:val="24"/>
                <w:szCs w:val="24"/>
              </w:rPr>
              <w:t>(</w:t>
            </w:r>
            <w:r w:rsidR="00251324" w:rsidRPr="006E14AC">
              <w:rPr>
                <w:rFonts w:ascii="Times New Roman" w:hAnsi="Times New Roman" w:cs="Times New Roman"/>
                <w:sz w:val="24"/>
                <w:szCs w:val="24"/>
              </w:rPr>
              <w:t>2014</w:t>
            </w:r>
            <w:r w:rsidR="004A6E54" w:rsidRPr="006E14AC">
              <w:rPr>
                <w:rFonts w:ascii="Times New Roman" w:hAnsi="Times New Roman" w:cs="Times New Roman"/>
                <w:sz w:val="24"/>
                <w:szCs w:val="24"/>
              </w:rPr>
              <w:t xml:space="preserve">. gada </w:t>
            </w:r>
            <w:r w:rsidR="003F4D24" w:rsidRPr="006E14AC">
              <w:rPr>
                <w:rFonts w:ascii="Times New Roman" w:hAnsi="Times New Roman" w:cs="Times New Roman"/>
                <w:sz w:val="24"/>
                <w:szCs w:val="24"/>
              </w:rPr>
              <w:t>18</w:t>
            </w:r>
            <w:r w:rsidR="004A6E54" w:rsidRPr="006E14AC">
              <w:rPr>
                <w:rFonts w:ascii="Times New Roman" w:hAnsi="Times New Roman" w:cs="Times New Roman"/>
                <w:sz w:val="24"/>
                <w:szCs w:val="24"/>
              </w:rPr>
              <w:t>. februāris</w:t>
            </w:r>
            <w:r w:rsidR="007B76F5" w:rsidRPr="006E14AC">
              <w:rPr>
                <w:rFonts w:ascii="Times New Roman" w:hAnsi="Times New Roman" w:cs="Times New Roman"/>
                <w:sz w:val="24"/>
                <w:szCs w:val="24"/>
              </w:rPr>
              <w:t>)</w:t>
            </w:r>
          </w:p>
        </w:tc>
      </w:tr>
    </w:tbl>
    <w:p w14:paraId="46382204" w14:textId="77777777" w:rsidR="00645DF4" w:rsidRPr="006E14AC" w:rsidRDefault="00645DF4" w:rsidP="00C43F6C">
      <w:pPr>
        <w:rPr>
          <w:rFonts w:ascii="Times New Roman" w:hAnsi="Times New Roman" w:cs="Times New Roman"/>
          <w:sz w:val="24"/>
          <w:szCs w:val="24"/>
        </w:rPr>
      </w:pPr>
    </w:p>
    <w:sectPr w:rsidR="00645DF4" w:rsidRPr="006E14AC" w:rsidSect="009A5424">
      <w:headerReference w:type="default" r:id="rId45"/>
      <w:footerReference w:type="default" r:id="rId46"/>
      <w:footerReference w:type="first" r:id="rId47"/>
      <w:pgSz w:w="11906" w:h="16838"/>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C28B0D" w14:textId="77777777" w:rsidR="00B14923" w:rsidRDefault="00B14923">
      <w:pPr>
        <w:spacing w:after="0" w:line="240" w:lineRule="auto"/>
      </w:pPr>
      <w:r>
        <w:separator/>
      </w:r>
    </w:p>
  </w:endnote>
  <w:endnote w:type="continuationSeparator" w:id="0">
    <w:p w14:paraId="0A03F4B6" w14:textId="77777777" w:rsidR="00B14923" w:rsidRDefault="00B14923">
      <w:pPr>
        <w:spacing w:after="0" w:line="240" w:lineRule="auto"/>
      </w:pPr>
      <w:r>
        <w:continuationSeparator/>
      </w:r>
    </w:p>
  </w:endnote>
  <w:endnote w:type="continuationNotice" w:id="1">
    <w:p w14:paraId="39B89A98" w14:textId="77777777" w:rsidR="00B14923" w:rsidRDefault="00B149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EUAlbertina">
    <w:altName w:val="Calibri"/>
    <w:panose1 w:val="00000000000000000000"/>
    <w:charset w:val="00"/>
    <w:family w:val="swiss"/>
    <w:notTrueType/>
    <w:pitch w:val="default"/>
    <w:sig w:usb0="00000005" w:usb1="00000000" w:usb2="00000000" w:usb3="00000000" w:csb0="00000003"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8E32CA" w14:textId="6E0FA036" w:rsidR="00211FA4" w:rsidRDefault="00211FA4" w:rsidP="004F13AC">
    <w:pPr>
      <w:pStyle w:val="Footer"/>
    </w:pPr>
    <w:r>
      <w:rPr>
        <w:rFonts w:ascii="Times New Roman" w:hAnsi="Times New Roman" w:cs="Times New Roman"/>
        <w:sz w:val="16"/>
        <w:szCs w:val="16"/>
      </w:rPr>
      <w:t>N0763_3p4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DBF1A" w14:textId="68822A68" w:rsidR="00211FA4" w:rsidRDefault="00211FA4">
    <w:pPr>
      <w:pStyle w:val="Footer"/>
    </w:pPr>
    <w:r>
      <w:rPr>
        <w:rFonts w:ascii="Times New Roman" w:hAnsi="Times New Roman" w:cs="Times New Roman"/>
        <w:sz w:val="16"/>
        <w:szCs w:val="16"/>
      </w:rPr>
      <w:t>N0763_3p4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571569" w14:textId="77777777" w:rsidR="00B14923" w:rsidRDefault="00B14923">
      <w:pPr>
        <w:spacing w:after="0" w:line="240" w:lineRule="auto"/>
      </w:pPr>
      <w:r>
        <w:separator/>
      </w:r>
    </w:p>
  </w:footnote>
  <w:footnote w:type="continuationSeparator" w:id="0">
    <w:p w14:paraId="16E2D60D" w14:textId="77777777" w:rsidR="00B14923" w:rsidRDefault="00B14923">
      <w:pPr>
        <w:spacing w:after="0" w:line="240" w:lineRule="auto"/>
      </w:pPr>
      <w:r>
        <w:continuationSeparator/>
      </w:r>
    </w:p>
  </w:footnote>
  <w:footnote w:type="continuationNotice" w:id="1">
    <w:p w14:paraId="37285E6E" w14:textId="77777777" w:rsidR="00B14923" w:rsidRDefault="00B1492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15203091"/>
      <w:docPartObj>
        <w:docPartGallery w:val="Page Numbers (Top of Page)"/>
        <w:docPartUnique/>
      </w:docPartObj>
    </w:sdtPr>
    <w:sdtEndPr>
      <w:rPr>
        <w:rFonts w:ascii="Times New Roman" w:hAnsi="Times New Roman" w:cs="Times New Roman"/>
        <w:noProof/>
        <w:sz w:val="24"/>
        <w:szCs w:val="24"/>
      </w:rPr>
    </w:sdtEndPr>
    <w:sdtContent>
      <w:p w14:paraId="0F1C40DE" w14:textId="66CDB3B2" w:rsidR="00211FA4" w:rsidRPr="00673757" w:rsidRDefault="00211FA4">
        <w:pPr>
          <w:pStyle w:val="Header"/>
          <w:jc w:val="center"/>
          <w:rPr>
            <w:rFonts w:ascii="Times New Roman" w:hAnsi="Times New Roman" w:cs="Times New Roman"/>
            <w:sz w:val="24"/>
            <w:szCs w:val="24"/>
          </w:rPr>
        </w:pPr>
        <w:r w:rsidRPr="00673757">
          <w:rPr>
            <w:rFonts w:ascii="Times New Roman" w:hAnsi="Times New Roman" w:cs="Times New Roman"/>
            <w:sz w:val="24"/>
            <w:szCs w:val="24"/>
          </w:rPr>
          <w:fldChar w:fldCharType="begin"/>
        </w:r>
        <w:r w:rsidRPr="00673757">
          <w:rPr>
            <w:rFonts w:ascii="Times New Roman" w:hAnsi="Times New Roman" w:cs="Times New Roman"/>
            <w:sz w:val="24"/>
            <w:szCs w:val="24"/>
          </w:rPr>
          <w:instrText xml:space="preserve"> PAGE   \* MERGEFORMAT </w:instrText>
        </w:r>
        <w:r w:rsidRPr="00673757">
          <w:rPr>
            <w:rFonts w:ascii="Times New Roman" w:hAnsi="Times New Roman" w:cs="Times New Roman"/>
            <w:sz w:val="24"/>
            <w:szCs w:val="24"/>
          </w:rPr>
          <w:fldChar w:fldCharType="separate"/>
        </w:r>
        <w:r w:rsidR="00555F17">
          <w:rPr>
            <w:rFonts w:ascii="Times New Roman" w:hAnsi="Times New Roman" w:cs="Times New Roman"/>
            <w:noProof/>
            <w:sz w:val="24"/>
            <w:szCs w:val="24"/>
          </w:rPr>
          <w:t>12</w:t>
        </w:r>
        <w:r w:rsidRPr="00673757">
          <w:rPr>
            <w:rFonts w:ascii="Times New Roman" w:hAnsi="Times New Roman" w:cs="Times New Roman"/>
            <w:noProof/>
            <w:sz w:val="24"/>
            <w:szCs w:val="24"/>
          </w:rPr>
          <w:fldChar w:fldCharType="end"/>
        </w:r>
      </w:p>
    </w:sdtContent>
  </w:sdt>
  <w:p w14:paraId="3E546DB1" w14:textId="77777777" w:rsidR="00211FA4" w:rsidRDefault="00211F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2DE3069"/>
    <w:multiLevelType w:val="hybridMultilevel"/>
    <w:tmpl w:val="E00E0FDE"/>
    <w:lvl w:ilvl="0" w:tplc="C240BBB6">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5ACB7A0A"/>
    <w:multiLevelType w:val="hybridMultilevel"/>
    <w:tmpl w:val="A22A9106"/>
    <w:lvl w:ilvl="0" w:tplc="5B2059A0">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5FAA3D22"/>
    <w:multiLevelType w:val="hybridMultilevel"/>
    <w:tmpl w:val="AAE21DA2"/>
    <w:lvl w:ilvl="0" w:tplc="92DC7298">
      <w:start w:val="1"/>
      <w:numFmt w:val="bullet"/>
      <w:lvlText w:val="-"/>
      <w:lvlJc w:val="left"/>
      <w:pPr>
        <w:ind w:left="720" w:hanging="360"/>
      </w:pPr>
      <w:rPr>
        <w:rFonts w:ascii="Calibri" w:eastAsia="Calibri" w:hAnsi="Calibri" w:cs="Calibri"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num w:numId="1" w16cid:durableId="2110395260">
    <w:abstractNumId w:val="0"/>
  </w:num>
  <w:num w:numId="2" w16cid:durableId="789740417">
    <w:abstractNumId w:val="1"/>
  </w:num>
  <w:num w:numId="3" w16cid:durableId="8811330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oNotDisplayPageBoundaries/>
  <w:proofState w:spelling="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699B"/>
    <w:rsid w:val="00000B9A"/>
    <w:rsid w:val="00002057"/>
    <w:rsid w:val="00007466"/>
    <w:rsid w:val="00021E3F"/>
    <w:rsid w:val="00035B35"/>
    <w:rsid w:val="000407C7"/>
    <w:rsid w:val="000451A6"/>
    <w:rsid w:val="0005374B"/>
    <w:rsid w:val="00057F8B"/>
    <w:rsid w:val="00076A2D"/>
    <w:rsid w:val="000809F7"/>
    <w:rsid w:val="000B32E4"/>
    <w:rsid w:val="000C1628"/>
    <w:rsid w:val="000D3047"/>
    <w:rsid w:val="000D3BA0"/>
    <w:rsid w:val="000D41E1"/>
    <w:rsid w:val="000D5D5F"/>
    <w:rsid w:val="000E6AF7"/>
    <w:rsid w:val="000F3ECD"/>
    <w:rsid w:val="00103AF5"/>
    <w:rsid w:val="00115D38"/>
    <w:rsid w:val="00121E6B"/>
    <w:rsid w:val="00126268"/>
    <w:rsid w:val="00137EAC"/>
    <w:rsid w:val="00145ECC"/>
    <w:rsid w:val="00152BC7"/>
    <w:rsid w:val="001576E1"/>
    <w:rsid w:val="00171206"/>
    <w:rsid w:val="00172710"/>
    <w:rsid w:val="00195907"/>
    <w:rsid w:val="001A6A63"/>
    <w:rsid w:val="001C09B5"/>
    <w:rsid w:val="001E522F"/>
    <w:rsid w:val="001F491C"/>
    <w:rsid w:val="001F5866"/>
    <w:rsid w:val="00201BA5"/>
    <w:rsid w:val="002035E7"/>
    <w:rsid w:val="002105CD"/>
    <w:rsid w:val="00211FA4"/>
    <w:rsid w:val="00251324"/>
    <w:rsid w:val="00253502"/>
    <w:rsid w:val="002611BD"/>
    <w:rsid w:val="002674A9"/>
    <w:rsid w:val="00276BB9"/>
    <w:rsid w:val="00276BE3"/>
    <w:rsid w:val="00281FB8"/>
    <w:rsid w:val="00294824"/>
    <w:rsid w:val="002955A2"/>
    <w:rsid w:val="002B1D94"/>
    <w:rsid w:val="002B24A1"/>
    <w:rsid w:val="002B5509"/>
    <w:rsid w:val="002B5672"/>
    <w:rsid w:val="002D00B6"/>
    <w:rsid w:val="002F01EE"/>
    <w:rsid w:val="002F1C9A"/>
    <w:rsid w:val="003057E3"/>
    <w:rsid w:val="00317722"/>
    <w:rsid w:val="00323886"/>
    <w:rsid w:val="003521C2"/>
    <w:rsid w:val="00354AB5"/>
    <w:rsid w:val="003835F2"/>
    <w:rsid w:val="00395562"/>
    <w:rsid w:val="003A21E5"/>
    <w:rsid w:val="003E608F"/>
    <w:rsid w:val="003F4D24"/>
    <w:rsid w:val="00430BD7"/>
    <w:rsid w:val="00435CB6"/>
    <w:rsid w:val="0047343C"/>
    <w:rsid w:val="004855F6"/>
    <w:rsid w:val="004A6E54"/>
    <w:rsid w:val="004A7A72"/>
    <w:rsid w:val="004B307F"/>
    <w:rsid w:val="004B45FD"/>
    <w:rsid w:val="004C1FE4"/>
    <w:rsid w:val="004C4639"/>
    <w:rsid w:val="004D16E8"/>
    <w:rsid w:val="004D5056"/>
    <w:rsid w:val="004D5D76"/>
    <w:rsid w:val="004E456F"/>
    <w:rsid w:val="004F13AC"/>
    <w:rsid w:val="00515FD2"/>
    <w:rsid w:val="005210CC"/>
    <w:rsid w:val="005278FD"/>
    <w:rsid w:val="005368AA"/>
    <w:rsid w:val="00541FA3"/>
    <w:rsid w:val="00550512"/>
    <w:rsid w:val="00554798"/>
    <w:rsid w:val="00555F17"/>
    <w:rsid w:val="0057125B"/>
    <w:rsid w:val="00576C6C"/>
    <w:rsid w:val="00577384"/>
    <w:rsid w:val="00582F1F"/>
    <w:rsid w:val="0059018F"/>
    <w:rsid w:val="00592D4C"/>
    <w:rsid w:val="005B2D63"/>
    <w:rsid w:val="005B68CC"/>
    <w:rsid w:val="005C3D5D"/>
    <w:rsid w:val="005D60FB"/>
    <w:rsid w:val="005F55AC"/>
    <w:rsid w:val="00605EF1"/>
    <w:rsid w:val="006172F0"/>
    <w:rsid w:val="0063755C"/>
    <w:rsid w:val="00645DF4"/>
    <w:rsid w:val="006472EA"/>
    <w:rsid w:val="00653FAC"/>
    <w:rsid w:val="006568C5"/>
    <w:rsid w:val="00664D0A"/>
    <w:rsid w:val="00673757"/>
    <w:rsid w:val="00685FB0"/>
    <w:rsid w:val="006C0AA7"/>
    <w:rsid w:val="006D34C3"/>
    <w:rsid w:val="006E14AC"/>
    <w:rsid w:val="006E2F28"/>
    <w:rsid w:val="0071140B"/>
    <w:rsid w:val="0071686D"/>
    <w:rsid w:val="00721557"/>
    <w:rsid w:val="007254E0"/>
    <w:rsid w:val="00730384"/>
    <w:rsid w:val="00745806"/>
    <w:rsid w:val="00752150"/>
    <w:rsid w:val="00761002"/>
    <w:rsid w:val="00761B85"/>
    <w:rsid w:val="00766E91"/>
    <w:rsid w:val="007B00F6"/>
    <w:rsid w:val="007B0C44"/>
    <w:rsid w:val="007B76F5"/>
    <w:rsid w:val="007C554F"/>
    <w:rsid w:val="007C59A2"/>
    <w:rsid w:val="007E27CE"/>
    <w:rsid w:val="007E5394"/>
    <w:rsid w:val="008035EA"/>
    <w:rsid w:val="008129E1"/>
    <w:rsid w:val="0081512D"/>
    <w:rsid w:val="00832E34"/>
    <w:rsid w:val="00833ABC"/>
    <w:rsid w:val="00846407"/>
    <w:rsid w:val="00864F7D"/>
    <w:rsid w:val="00890811"/>
    <w:rsid w:val="00890F03"/>
    <w:rsid w:val="00893313"/>
    <w:rsid w:val="008A7E97"/>
    <w:rsid w:val="008B75E5"/>
    <w:rsid w:val="008D15C9"/>
    <w:rsid w:val="008E0D70"/>
    <w:rsid w:val="008E1DF3"/>
    <w:rsid w:val="008E3012"/>
    <w:rsid w:val="008E6881"/>
    <w:rsid w:val="008F45D1"/>
    <w:rsid w:val="008F7549"/>
    <w:rsid w:val="0090548A"/>
    <w:rsid w:val="00912109"/>
    <w:rsid w:val="00920722"/>
    <w:rsid w:val="00922830"/>
    <w:rsid w:val="0092496D"/>
    <w:rsid w:val="00936CC7"/>
    <w:rsid w:val="00937E24"/>
    <w:rsid w:val="009618A9"/>
    <w:rsid w:val="00961D9C"/>
    <w:rsid w:val="00964997"/>
    <w:rsid w:val="00965AEA"/>
    <w:rsid w:val="00972E84"/>
    <w:rsid w:val="00974A9B"/>
    <w:rsid w:val="00981D54"/>
    <w:rsid w:val="00984515"/>
    <w:rsid w:val="0098569B"/>
    <w:rsid w:val="009A5424"/>
    <w:rsid w:val="009C1BBB"/>
    <w:rsid w:val="009E7DA0"/>
    <w:rsid w:val="009F0668"/>
    <w:rsid w:val="009F1F1B"/>
    <w:rsid w:val="009F3575"/>
    <w:rsid w:val="00A03118"/>
    <w:rsid w:val="00A17C6D"/>
    <w:rsid w:val="00A25FFA"/>
    <w:rsid w:val="00A36569"/>
    <w:rsid w:val="00A42B1E"/>
    <w:rsid w:val="00A42EC5"/>
    <w:rsid w:val="00A4358B"/>
    <w:rsid w:val="00A4392B"/>
    <w:rsid w:val="00A4601C"/>
    <w:rsid w:val="00A50C08"/>
    <w:rsid w:val="00A52938"/>
    <w:rsid w:val="00A709EE"/>
    <w:rsid w:val="00A71535"/>
    <w:rsid w:val="00A82243"/>
    <w:rsid w:val="00AA1E28"/>
    <w:rsid w:val="00AA4265"/>
    <w:rsid w:val="00AA4EB2"/>
    <w:rsid w:val="00AB0996"/>
    <w:rsid w:val="00AB3600"/>
    <w:rsid w:val="00AB3C28"/>
    <w:rsid w:val="00AF44DD"/>
    <w:rsid w:val="00AF63C4"/>
    <w:rsid w:val="00B0755B"/>
    <w:rsid w:val="00B14923"/>
    <w:rsid w:val="00B256B7"/>
    <w:rsid w:val="00B521E4"/>
    <w:rsid w:val="00B72E1B"/>
    <w:rsid w:val="00B74104"/>
    <w:rsid w:val="00B831C6"/>
    <w:rsid w:val="00B84D47"/>
    <w:rsid w:val="00B85C8C"/>
    <w:rsid w:val="00B97F78"/>
    <w:rsid w:val="00BA1717"/>
    <w:rsid w:val="00BA5E89"/>
    <w:rsid w:val="00BB0397"/>
    <w:rsid w:val="00BC3CAC"/>
    <w:rsid w:val="00BD4840"/>
    <w:rsid w:val="00BD5DD1"/>
    <w:rsid w:val="00C1569B"/>
    <w:rsid w:val="00C16C10"/>
    <w:rsid w:val="00C25CCD"/>
    <w:rsid w:val="00C356D9"/>
    <w:rsid w:val="00C43F6C"/>
    <w:rsid w:val="00C4612F"/>
    <w:rsid w:val="00C4646E"/>
    <w:rsid w:val="00C65750"/>
    <w:rsid w:val="00C66149"/>
    <w:rsid w:val="00C72AB2"/>
    <w:rsid w:val="00C81020"/>
    <w:rsid w:val="00C9788E"/>
    <w:rsid w:val="00CB699B"/>
    <w:rsid w:val="00CC50E3"/>
    <w:rsid w:val="00CC6D5F"/>
    <w:rsid w:val="00CE5255"/>
    <w:rsid w:val="00CE63DA"/>
    <w:rsid w:val="00CF1B21"/>
    <w:rsid w:val="00CF6AC8"/>
    <w:rsid w:val="00D06F39"/>
    <w:rsid w:val="00D34E73"/>
    <w:rsid w:val="00D362F0"/>
    <w:rsid w:val="00D42116"/>
    <w:rsid w:val="00D44A88"/>
    <w:rsid w:val="00D749AD"/>
    <w:rsid w:val="00D74FC6"/>
    <w:rsid w:val="00D816AB"/>
    <w:rsid w:val="00D9578D"/>
    <w:rsid w:val="00DB1B8A"/>
    <w:rsid w:val="00DB2CB9"/>
    <w:rsid w:val="00DE0B8D"/>
    <w:rsid w:val="00DE4D2F"/>
    <w:rsid w:val="00DE743C"/>
    <w:rsid w:val="00DE77B9"/>
    <w:rsid w:val="00DF3A82"/>
    <w:rsid w:val="00E02998"/>
    <w:rsid w:val="00E10982"/>
    <w:rsid w:val="00E338AF"/>
    <w:rsid w:val="00E40C06"/>
    <w:rsid w:val="00E51ED3"/>
    <w:rsid w:val="00E60C10"/>
    <w:rsid w:val="00E73992"/>
    <w:rsid w:val="00E83839"/>
    <w:rsid w:val="00EA071E"/>
    <w:rsid w:val="00EA21E0"/>
    <w:rsid w:val="00EA6503"/>
    <w:rsid w:val="00ED254B"/>
    <w:rsid w:val="00ED3FD8"/>
    <w:rsid w:val="00EE18DA"/>
    <w:rsid w:val="00EE24CE"/>
    <w:rsid w:val="00EE5FE5"/>
    <w:rsid w:val="00F00BEF"/>
    <w:rsid w:val="00F0190D"/>
    <w:rsid w:val="00F12EC8"/>
    <w:rsid w:val="00F27785"/>
    <w:rsid w:val="00F30543"/>
    <w:rsid w:val="00F37223"/>
    <w:rsid w:val="00F37B46"/>
    <w:rsid w:val="00F40A72"/>
    <w:rsid w:val="00F4724F"/>
    <w:rsid w:val="00F47DBA"/>
    <w:rsid w:val="00F53F22"/>
    <w:rsid w:val="00F571A8"/>
    <w:rsid w:val="00F62C5C"/>
    <w:rsid w:val="00F81420"/>
    <w:rsid w:val="00F83153"/>
    <w:rsid w:val="00F86257"/>
    <w:rsid w:val="00F86832"/>
    <w:rsid w:val="00FA4BD9"/>
    <w:rsid w:val="00FC3CE5"/>
    <w:rsid w:val="00FC64A5"/>
    <w:rsid w:val="00FD72B7"/>
    <w:rsid w:val="00FE2CE0"/>
    <w:rsid w:val="00FF4482"/>
    <w:rsid w:val="02275AFE"/>
    <w:rsid w:val="100C52DA"/>
    <w:rsid w:val="17DA86B1"/>
    <w:rsid w:val="1BC1581E"/>
    <w:rsid w:val="1F1C7640"/>
    <w:rsid w:val="23D597CF"/>
    <w:rsid w:val="3F9575F3"/>
    <w:rsid w:val="41FDE9CE"/>
    <w:rsid w:val="4F784669"/>
    <w:rsid w:val="533C64BF"/>
    <w:rsid w:val="60832FC0"/>
    <w:rsid w:val="7328E6DE"/>
    <w:rsid w:val="79E54988"/>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BA9E"/>
  <w15:docId w15:val="{3CC5993F-C8C5-4E54-A2B1-A839F2F45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699B"/>
    <w:pPr>
      <w:spacing w:after="200" w:line="276" w:lineRule="auto"/>
    </w:pPr>
  </w:style>
  <w:style w:type="paragraph" w:styleId="Heading1">
    <w:name w:val="heading 1"/>
    <w:basedOn w:val="Normal"/>
    <w:next w:val="Normal"/>
    <w:link w:val="Heading1Char"/>
    <w:uiPriority w:val="9"/>
    <w:qFormat/>
    <w:rsid w:val="00CB699B"/>
    <w:pPr>
      <w:keepNext/>
      <w:keepLines/>
      <w:spacing w:before="480"/>
      <w:outlineLvl w:val="0"/>
    </w:pPr>
    <w:rPr>
      <w:rFonts w:ascii="Arial" w:eastAsia="Arial" w:hAnsi="Arial" w:cs="Arial"/>
      <w:sz w:val="40"/>
      <w:szCs w:val="40"/>
    </w:rPr>
  </w:style>
  <w:style w:type="paragraph" w:styleId="Heading2">
    <w:name w:val="heading 2"/>
    <w:basedOn w:val="Normal"/>
    <w:next w:val="Normal"/>
    <w:link w:val="Heading2Char"/>
    <w:uiPriority w:val="9"/>
    <w:unhideWhenUsed/>
    <w:qFormat/>
    <w:rsid w:val="00CB699B"/>
    <w:pPr>
      <w:keepNext/>
      <w:keepLines/>
      <w:spacing w:before="360"/>
      <w:outlineLvl w:val="1"/>
    </w:pPr>
    <w:rPr>
      <w:rFonts w:ascii="Arial" w:eastAsia="Arial" w:hAnsi="Arial" w:cs="Arial"/>
      <w:sz w:val="34"/>
    </w:rPr>
  </w:style>
  <w:style w:type="paragraph" w:styleId="Heading3">
    <w:name w:val="heading 3"/>
    <w:basedOn w:val="Normal"/>
    <w:next w:val="Normal"/>
    <w:link w:val="Heading3Char"/>
    <w:uiPriority w:val="9"/>
    <w:unhideWhenUsed/>
    <w:qFormat/>
    <w:rsid w:val="00CB699B"/>
    <w:pPr>
      <w:keepNext/>
      <w:keepLines/>
      <w:spacing w:before="320"/>
      <w:outlineLvl w:val="2"/>
    </w:pPr>
    <w:rPr>
      <w:rFonts w:ascii="Arial" w:eastAsia="Arial" w:hAnsi="Arial" w:cs="Arial"/>
      <w:sz w:val="30"/>
      <w:szCs w:val="30"/>
    </w:rPr>
  </w:style>
  <w:style w:type="paragraph" w:styleId="Heading4">
    <w:name w:val="heading 4"/>
    <w:basedOn w:val="Normal"/>
    <w:next w:val="Normal"/>
    <w:link w:val="Heading4Char"/>
    <w:uiPriority w:val="9"/>
    <w:unhideWhenUsed/>
    <w:qFormat/>
    <w:rsid w:val="00CB699B"/>
    <w:pPr>
      <w:keepNext/>
      <w:keepLines/>
      <w:spacing w:before="320"/>
      <w:outlineLvl w:val="3"/>
    </w:pPr>
    <w:rPr>
      <w:rFonts w:ascii="Arial" w:eastAsia="Arial" w:hAnsi="Arial" w:cs="Arial"/>
      <w:b/>
      <w:bCs/>
      <w:sz w:val="26"/>
      <w:szCs w:val="26"/>
    </w:rPr>
  </w:style>
  <w:style w:type="paragraph" w:styleId="Heading5">
    <w:name w:val="heading 5"/>
    <w:basedOn w:val="Normal"/>
    <w:next w:val="Normal"/>
    <w:link w:val="Heading5Char"/>
    <w:uiPriority w:val="9"/>
    <w:unhideWhenUsed/>
    <w:qFormat/>
    <w:rsid w:val="00CB699B"/>
    <w:pPr>
      <w:keepNext/>
      <w:keepLines/>
      <w:spacing w:before="320"/>
      <w:outlineLvl w:val="4"/>
    </w:pPr>
    <w:rPr>
      <w:rFonts w:ascii="Arial" w:eastAsia="Arial" w:hAnsi="Arial" w:cs="Arial"/>
      <w:b/>
      <w:bCs/>
      <w:sz w:val="24"/>
      <w:szCs w:val="24"/>
    </w:rPr>
  </w:style>
  <w:style w:type="paragraph" w:styleId="Heading6">
    <w:name w:val="heading 6"/>
    <w:basedOn w:val="Normal"/>
    <w:next w:val="Normal"/>
    <w:link w:val="Heading6Char"/>
    <w:uiPriority w:val="9"/>
    <w:unhideWhenUsed/>
    <w:qFormat/>
    <w:rsid w:val="00CB699B"/>
    <w:pPr>
      <w:keepNext/>
      <w:keepLines/>
      <w:spacing w:before="320"/>
      <w:outlineLvl w:val="5"/>
    </w:pPr>
    <w:rPr>
      <w:rFonts w:ascii="Arial" w:eastAsia="Arial" w:hAnsi="Arial" w:cs="Arial"/>
      <w:b/>
      <w:bCs/>
    </w:rPr>
  </w:style>
  <w:style w:type="paragraph" w:styleId="Heading7">
    <w:name w:val="heading 7"/>
    <w:basedOn w:val="Normal"/>
    <w:next w:val="Normal"/>
    <w:link w:val="Heading7Char"/>
    <w:uiPriority w:val="9"/>
    <w:unhideWhenUsed/>
    <w:qFormat/>
    <w:rsid w:val="00CB699B"/>
    <w:pPr>
      <w:keepNext/>
      <w:keepLines/>
      <w:spacing w:before="320"/>
      <w:outlineLvl w:val="6"/>
    </w:pPr>
    <w:rPr>
      <w:rFonts w:ascii="Arial" w:eastAsia="Arial" w:hAnsi="Arial" w:cs="Arial"/>
      <w:b/>
      <w:bCs/>
      <w:i/>
      <w:iCs/>
    </w:rPr>
  </w:style>
  <w:style w:type="paragraph" w:styleId="Heading8">
    <w:name w:val="heading 8"/>
    <w:basedOn w:val="Normal"/>
    <w:next w:val="Normal"/>
    <w:link w:val="Heading8Char"/>
    <w:uiPriority w:val="9"/>
    <w:unhideWhenUsed/>
    <w:qFormat/>
    <w:rsid w:val="00CB699B"/>
    <w:pPr>
      <w:keepNext/>
      <w:keepLines/>
      <w:spacing w:before="320"/>
      <w:outlineLvl w:val="7"/>
    </w:pPr>
    <w:rPr>
      <w:rFonts w:ascii="Arial" w:eastAsia="Arial" w:hAnsi="Arial" w:cs="Arial"/>
      <w:i/>
      <w:iCs/>
    </w:rPr>
  </w:style>
  <w:style w:type="paragraph" w:styleId="Heading9">
    <w:name w:val="heading 9"/>
    <w:basedOn w:val="Normal"/>
    <w:next w:val="Normal"/>
    <w:link w:val="Heading9Char"/>
    <w:uiPriority w:val="9"/>
    <w:unhideWhenUsed/>
    <w:qFormat/>
    <w:rsid w:val="00CB699B"/>
    <w:pPr>
      <w:keepNext/>
      <w:keepLines/>
      <w:spacing w:before="320"/>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semiHidden/>
    <w:unhideWhenUsed/>
    <w:qFormat/>
    <w:rsid w:val="00CB699B"/>
    <w:rPr>
      <w:b/>
      <w:bCs/>
      <w:color w:val="5B9BD5" w:themeColor="accent1"/>
      <w:sz w:val="18"/>
      <w:szCs w:val="18"/>
    </w:rPr>
  </w:style>
  <w:style w:type="character" w:customStyle="1" w:styleId="CaptionChar">
    <w:name w:val="Caption Char"/>
    <w:uiPriority w:val="99"/>
    <w:rsid w:val="00CB699B"/>
  </w:style>
  <w:style w:type="paragraph" w:styleId="EndnoteText">
    <w:name w:val="endnote text"/>
    <w:basedOn w:val="Normal"/>
    <w:link w:val="EndnoteTextChar"/>
    <w:uiPriority w:val="99"/>
    <w:semiHidden/>
    <w:unhideWhenUsed/>
    <w:rsid w:val="00CB699B"/>
    <w:pPr>
      <w:spacing w:after="0" w:line="240" w:lineRule="auto"/>
    </w:pPr>
    <w:rPr>
      <w:sz w:val="20"/>
    </w:rPr>
  </w:style>
  <w:style w:type="character" w:customStyle="1" w:styleId="EndnoteTextChar">
    <w:name w:val="Endnote Text Char"/>
    <w:link w:val="EndnoteText"/>
    <w:uiPriority w:val="99"/>
    <w:rsid w:val="00CB699B"/>
    <w:rPr>
      <w:sz w:val="20"/>
    </w:rPr>
  </w:style>
  <w:style w:type="character" w:styleId="EndnoteReference">
    <w:name w:val="endnote reference"/>
    <w:basedOn w:val="DefaultParagraphFont"/>
    <w:uiPriority w:val="99"/>
    <w:semiHidden/>
    <w:unhideWhenUsed/>
    <w:rsid w:val="00CB699B"/>
    <w:rPr>
      <w:vertAlign w:val="superscript"/>
    </w:rPr>
  </w:style>
  <w:style w:type="paragraph" w:styleId="TableofFigures">
    <w:name w:val="table of figures"/>
    <w:basedOn w:val="Normal"/>
    <w:next w:val="Normal"/>
    <w:uiPriority w:val="99"/>
    <w:unhideWhenUsed/>
    <w:rsid w:val="00CB699B"/>
    <w:pPr>
      <w:spacing w:after="0"/>
    </w:pPr>
  </w:style>
  <w:style w:type="character" w:customStyle="1" w:styleId="Heading1Char">
    <w:name w:val="Heading 1 Char"/>
    <w:basedOn w:val="DefaultParagraphFont"/>
    <w:link w:val="Heading1"/>
    <w:uiPriority w:val="9"/>
    <w:rsid w:val="00CB699B"/>
    <w:rPr>
      <w:rFonts w:ascii="Arial" w:eastAsia="Arial" w:hAnsi="Arial" w:cs="Arial"/>
      <w:sz w:val="40"/>
      <w:szCs w:val="40"/>
    </w:rPr>
  </w:style>
  <w:style w:type="character" w:customStyle="1" w:styleId="Heading2Char">
    <w:name w:val="Heading 2 Char"/>
    <w:basedOn w:val="DefaultParagraphFont"/>
    <w:link w:val="Heading2"/>
    <w:uiPriority w:val="9"/>
    <w:rsid w:val="00CB699B"/>
    <w:rPr>
      <w:rFonts w:ascii="Arial" w:eastAsia="Arial" w:hAnsi="Arial" w:cs="Arial"/>
      <w:sz w:val="34"/>
    </w:rPr>
  </w:style>
  <w:style w:type="character" w:customStyle="1" w:styleId="Heading3Char">
    <w:name w:val="Heading 3 Char"/>
    <w:basedOn w:val="DefaultParagraphFont"/>
    <w:link w:val="Heading3"/>
    <w:uiPriority w:val="9"/>
    <w:rsid w:val="00CB699B"/>
    <w:rPr>
      <w:rFonts w:ascii="Arial" w:eastAsia="Arial" w:hAnsi="Arial" w:cs="Arial"/>
      <w:sz w:val="30"/>
      <w:szCs w:val="30"/>
    </w:rPr>
  </w:style>
  <w:style w:type="character" w:customStyle="1" w:styleId="Heading4Char">
    <w:name w:val="Heading 4 Char"/>
    <w:basedOn w:val="DefaultParagraphFont"/>
    <w:link w:val="Heading4"/>
    <w:uiPriority w:val="9"/>
    <w:rsid w:val="00CB699B"/>
    <w:rPr>
      <w:rFonts w:ascii="Arial" w:eastAsia="Arial" w:hAnsi="Arial" w:cs="Arial"/>
      <w:b/>
      <w:bCs/>
      <w:sz w:val="26"/>
      <w:szCs w:val="26"/>
    </w:rPr>
  </w:style>
  <w:style w:type="character" w:customStyle="1" w:styleId="Heading5Char">
    <w:name w:val="Heading 5 Char"/>
    <w:basedOn w:val="DefaultParagraphFont"/>
    <w:link w:val="Heading5"/>
    <w:uiPriority w:val="9"/>
    <w:rsid w:val="00CB699B"/>
    <w:rPr>
      <w:rFonts w:ascii="Arial" w:eastAsia="Arial" w:hAnsi="Arial" w:cs="Arial"/>
      <w:b/>
      <w:bCs/>
      <w:sz w:val="24"/>
      <w:szCs w:val="24"/>
    </w:rPr>
  </w:style>
  <w:style w:type="character" w:customStyle="1" w:styleId="Heading6Char">
    <w:name w:val="Heading 6 Char"/>
    <w:basedOn w:val="DefaultParagraphFont"/>
    <w:link w:val="Heading6"/>
    <w:uiPriority w:val="9"/>
    <w:rsid w:val="00CB699B"/>
    <w:rPr>
      <w:rFonts w:ascii="Arial" w:eastAsia="Arial" w:hAnsi="Arial" w:cs="Arial"/>
      <w:b/>
      <w:bCs/>
      <w:sz w:val="22"/>
      <w:szCs w:val="22"/>
    </w:rPr>
  </w:style>
  <w:style w:type="character" w:customStyle="1" w:styleId="Heading7Char">
    <w:name w:val="Heading 7 Char"/>
    <w:basedOn w:val="DefaultParagraphFont"/>
    <w:link w:val="Heading7"/>
    <w:uiPriority w:val="9"/>
    <w:rsid w:val="00CB699B"/>
    <w:rPr>
      <w:rFonts w:ascii="Arial" w:eastAsia="Arial" w:hAnsi="Arial" w:cs="Arial"/>
      <w:b/>
      <w:bCs/>
      <w:i/>
      <w:iCs/>
      <w:sz w:val="22"/>
      <w:szCs w:val="22"/>
    </w:rPr>
  </w:style>
  <w:style w:type="character" w:customStyle="1" w:styleId="Heading8Char">
    <w:name w:val="Heading 8 Char"/>
    <w:basedOn w:val="DefaultParagraphFont"/>
    <w:link w:val="Heading8"/>
    <w:uiPriority w:val="9"/>
    <w:rsid w:val="00CB699B"/>
    <w:rPr>
      <w:rFonts w:ascii="Arial" w:eastAsia="Arial" w:hAnsi="Arial" w:cs="Arial"/>
      <w:i/>
      <w:iCs/>
      <w:sz w:val="22"/>
      <w:szCs w:val="22"/>
    </w:rPr>
  </w:style>
  <w:style w:type="character" w:customStyle="1" w:styleId="Heading9Char">
    <w:name w:val="Heading 9 Char"/>
    <w:basedOn w:val="DefaultParagraphFont"/>
    <w:link w:val="Heading9"/>
    <w:uiPriority w:val="9"/>
    <w:rsid w:val="00CB699B"/>
    <w:rPr>
      <w:rFonts w:ascii="Arial" w:eastAsia="Arial" w:hAnsi="Arial" w:cs="Arial"/>
      <w:i/>
      <w:iCs/>
      <w:sz w:val="21"/>
      <w:szCs w:val="21"/>
    </w:rPr>
  </w:style>
  <w:style w:type="paragraph" w:styleId="NoSpacing">
    <w:name w:val="No Spacing"/>
    <w:uiPriority w:val="1"/>
    <w:qFormat/>
    <w:rsid w:val="00CB699B"/>
    <w:pPr>
      <w:spacing w:after="0" w:line="240" w:lineRule="auto"/>
    </w:pPr>
  </w:style>
  <w:style w:type="paragraph" w:styleId="Title">
    <w:name w:val="Title"/>
    <w:basedOn w:val="Normal"/>
    <w:next w:val="Normal"/>
    <w:link w:val="TitleChar"/>
    <w:uiPriority w:val="10"/>
    <w:qFormat/>
    <w:rsid w:val="00CB699B"/>
    <w:pPr>
      <w:spacing w:before="300"/>
      <w:contextualSpacing/>
    </w:pPr>
    <w:rPr>
      <w:sz w:val="48"/>
      <w:szCs w:val="48"/>
    </w:rPr>
  </w:style>
  <w:style w:type="character" w:customStyle="1" w:styleId="TitleChar">
    <w:name w:val="Title Char"/>
    <w:basedOn w:val="DefaultParagraphFont"/>
    <w:link w:val="Title"/>
    <w:uiPriority w:val="10"/>
    <w:rsid w:val="00CB699B"/>
    <w:rPr>
      <w:sz w:val="48"/>
      <w:szCs w:val="48"/>
    </w:rPr>
  </w:style>
  <w:style w:type="paragraph" w:styleId="Subtitle">
    <w:name w:val="Subtitle"/>
    <w:basedOn w:val="Normal"/>
    <w:next w:val="Normal"/>
    <w:link w:val="SubtitleChar"/>
    <w:uiPriority w:val="11"/>
    <w:qFormat/>
    <w:rsid w:val="00CB699B"/>
    <w:pPr>
      <w:spacing w:before="200"/>
    </w:pPr>
    <w:rPr>
      <w:sz w:val="24"/>
      <w:szCs w:val="24"/>
    </w:rPr>
  </w:style>
  <w:style w:type="character" w:customStyle="1" w:styleId="SubtitleChar">
    <w:name w:val="Subtitle Char"/>
    <w:basedOn w:val="DefaultParagraphFont"/>
    <w:link w:val="Subtitle"/>
    <w:uiPriority w:val="11"/>
    <w:rsid w:val="00CB699B"/>
    <w:rPr>
      <w:sz w:val="24"/>
      <w:szCs w:val="24"/>
    </w:rPr>
  </w:style>
  <w:style w:type="paragraph" w:styleId="Quote">
    <w:name w:val="Quote"/>
    <w:basedOn w:val="Normal"/>
    <w:next w:val="Normal"/>
    <w:link w:val="QuoteChar"/>
    <w:uiPriority w:val="29"/>
    <w:qFormat/>
    <w:rsid w:val="00CB699B"/>
    <w:pPr>
      <w:ind w:left="720" w:right="720"/>
    </w:pPr>
    <w:rPr>
      <w:i/>
    </w:rPr>
  </w:style>
  <w:style w:type="character" w:customStyle="1" w:styleId="QuoteChar">
    <w:name w:val="Quote Char"/>
    <w:link w:val="Quote"/>
    <w:uiPriority w:val="29"/>
    <w:rsid w:val="00CB699B"/>
    <w:rPr>
      <w:i/>
    </w:rPr>
  </w:style>
  <w:style w:type="paragraph" w:styleId="IntenseQuote">
    <w:name w:val="Intense Quote"/>
    <w:basedOn w:val="Normal"/>
    <w:next w:val="Normal"/>
    <w:link w:val="IntenseQuoteChar"/>
    <w:uiPriority w:val="30"/>
    <w:qFormat/>
    <w:rsid w:val="00CB699B"/>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sid w:val="00CB699B"/>
    <w:rPr>
      <w:i/>
    </w:rPr>
  </w:style>
  <w:style w:type="paragraph" w:styleId="Header">
    <w:name w:val="header"/>
    <w:basedOn w:val="Normal"/>
    <w:link w:val="HeaderChar"/>
    <w:uiPriority w:val="99"/>
    <w:unhideWhenUsed/>
    <w:rsid w:val="00CB699B"/>
    <w:pPr>
      <w:tabs>
        <w:tab w:val="center" w:pos="7143"/>
        <w:tab w:val="right" w:pos="14287"/>
      </w:tabs>
      <w:spacing w:after="0" w:line="240" w:lineRule="auto"/>
    </w:pPr>
  </w:style>
  <w:style w:type="character" w:customStyle="1" w:styleId="HeaderChar">
    <w:name w:val="Header Char"/>
    <w:basedOn w:val="DefaultParagraphFont"/>
    <w:link w:val="Header"/>
    <w:uiPriority w:val="99"/>
    <w:rsid w:val="00CB699B"/>
  </w:style>
  <w:style w:type="paragraph" w:styleId="Footer">
    <w:name w:val="footer"/>
    <w:basedOn w:val="Normal"/>
    <w:link w:val="FooterChar"/>
    <w:uiPriority w:val="99"/>
    <w:unhideWhenUsed/>
    <w:rsid w:val="00CB699B"/>
    <w:pPr>
      <w:tabs>
        <w:tab w:val="center" w:pos="7143"/>
        <w:tab w:val="right" w:pos="14287"/>
      </w:tabs>
      <w:spacing w:after="0" w:line="240" w:lineRule="auto"/>
    </w:pPr>
  </w:style>
  <w:style w:type="character" w:customStyle="1" w:styleId="FooterChar">
    <w:name w:val="Footer Char"/>
    <w:basedOn w:val="DefaultParagraphFont"/>
    <w:link w:val="Footer"/>
    <w:uiPriority w:val="99"/>
    <w:rsid w:val="00CB699B"/>
  </w:style>
  <w:style w:type="table" w:customStyle="1" w:styleId="TableGridLight1">
    <w:name w:val="Table Grid Light1"/>
    <w:basedOn w:val="TableNormal"/>
    <w:uiPriority w:val="59"/>
    <w:rsid w:val="00CB699B"/>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1">
    <w:name w:val="Plain Table 11"/>
    <w:basedOn w:val="TableNormal"/>
    <w:uiPriority w:val="59"/>
    <w:rsid w:val="00CB699B"/>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FFFFF" w:themeFill="text1" w:themeFillTint="00"/>
      </w:tcPr>
    </w:tblStylePr>
    <w:tblStylePr w:type="band1Horz">
      <w:tblPr/>
      <w:tcPr>
        <w:shd w:val="clear" w:color="auto" w:fill="FFFFFF" w:themeFill="text1" w:themeFillTint="00"/>
      </w:tcPr>
    </w:tblStylePr>
  </w:style>
  <w:style w:type="table" w:customStyle="1" w:styleId="PlainTable21">
    <w:name w:val="Plain Table 21"/>
    <w:basedOn w:val="TableNormal"/>
    <w:uiPriority w:val="59"/>
    <w:rsid w:val="00CB699B"/>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1">
    <w:name w:val="Plain Table 31"/>
    <w:basedOn w:val="TableNormal"/>
    <w:uiPriority w:val="99"/>
    <w:rsid w:val="00CB699B"/>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FFFFF" w:themeFill="text1" w:themeFillTint="00"/>
      </w:tcPr>
    </w:tblStylePr>
    <w:tblStylePr w:type="band1Horz">
      <w:rPr>
        <w:rFonts w:ascii="Arial" w:hAnsi="Arial"/>
        <w:color w:val="404040"/>
        <w:sz w:val="22"/>
      </w:rPr>
      <w:tblPr/>
      <w:tcPr>
        <w:shd w:val="clear" w:color="auto" w:fill="FFFFFF" w:themeFill="text1" w:themeFillTint="00"/>
      </w:tcPr>
    </w:tblStylePr>
  </w:style>
  <w:style w:type="table" w:customStyle="1" w:styleId="PlainTable41">
    <w:name w:val="Plain Table 41"/>
    <w:basedOn w:val="TableNormal"/>
    <w:uiPriority w:val="99"/>
    <w:rsid w:val="00CB699B"/>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FFF" w:themeFill="text1" w:themeFillTint="00"/>
      </w:tcPr>
    </w:tblStylePr>
    <w:tblStylePr w:type="band1Horz">
      <w:rPr>
        <w:rFonts w:ascii="Arial" w:hAnsi="Arial"/>
        <w:color w:val="404040"/>
        <w:sz w:val="22"/>
      </w:rPr>
      <w:tblPr/>
      <w:tcPr>
        <w:shd w:val="clear" w:color="auto" w:fill="FFFFFF" w:themeFill="text1" w:themeFillTint="00"/>
      </w:tcPr>
    </w:tblStylePr>
  </w:style>
  <w:style w:type="table" w:customStyle="1" w:styleId="PlainTable51">
    <w:name w:val="Plain Table 51"/>
    <w:basedOn w:val="TableNormal"/>
    <w:uiPriority w:val="99"/>
    <w:rsid w:val="00CB699B"/>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FFFFF" w:themeFill="text1" w:themeFillTint="00"/>
      </w:tcPr>
    </w:tblStylePr>
    <w:tblStylePr w:type="band1Horz">
      <w:rPr>
        <w:rFonts w:ascii="Arial" w:hAnsi="Arial"/>
        <w:color w:val="404040"/>
        <w:sz w:val="22"/>
      </w:rPr>
      <w:tblPr/>
      <w:tcPr>
        <w:shd w:val="clear" w:color="auto" w:fill="FFFFFF" w:themeFill="text1" w:themeFillTint="00"/>
      </w:tcPr>
    </w:tblStylePr>
  </w:style>
  <w:style w:type="table" w:customStyle="1" w:styleId="GridTable1Light1">
    <w:name w:val="Grid Table 1 Light1"/>
    <w:basedOn w:val="TableNormal"/>
    <w:uiPriority w:val="99"/>
    <w:rsid w:val="00CB699B"/>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Normal"/>
    <w:uiPriority w:val="99"/>
    <w:rsid w:val="00CB699B"/>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1">
    <w:name w:val="Grid Table 1 Light - Accent 21"/>
    <w:basedOn w:val="TableNormal"/>
    <w:uiPriority w:val="99"/>
    <w:rsid w:val="00CB699B"/>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eNormal"/>
    <w:uiPriority w:val="99"/>
    <w:rsid w:val="00CB699B"/>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Normal"/>
    <w:uiPriority w:val="99"/>
    <w:rsid w:val="00CB699B"/>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Normal"/>
    <w:uiPriority w:val="99"/>
    <w:rsid w:val="00CB699B"/>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1">
    <w:name w:val="Grid Table 1 Light - Accent 61"/>
    <w:basedOn w:val="TableNormal"/>
    <w:uiPriority w:val="99"/>
    <w:rsid w:val="00CB699B"/>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1">
    <w:name w:val="Grid Table 21"/>
    <w:basedOn w:val="TableNormal"/>
    <w:uiPriority w:val="99"/>
    <w:rsid w:val="00CB699B"/>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1">
    <w:name w:val="Grid Table 2 - Accent 11"/>
    <w:basedOn w:val="TableNormal"/>
    <w:uiPriority w:val="99"/>
    <w:rsid w:val="00CB699B"/>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auto" w:fill="FFFFFF"/>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1" w:themeFillTint="34"/>
      </w:tcPr>
    </w:tblStylePr>
    <w:tblStylePr w:type="band1Horz">
      <w:rPr>
        <w:rFonts w:ascii="Arial" w:hAnsi="Arial"/>
        <w:color w:val="404040"/>
        <w:sz w:val="22"/>
      </w:rPr>
      <w:tblPr/>
      <w:tcPr>
        <w:shd w:val="clear" w:color="auto" w:fill="DDEAF6" w:themeFill="accent1" w:themeFillTint="34"/>
      </w:tcPr>
    </w:tblStylePr>
  </w:style>
  <w:style w:type="table" w:customStyle="1" w:styleId="GridTable2-Accent21">
    <w:name w:val="Grid Table 2 - Accent 21"/>
    <w:basedOn w:val="TableNormal"/>
    <w:uiPriority w:val="99"/>
    <w:rsid w:val="00CB699B"/>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1">
    <w:name w:val="Grid Table 2 - Accent 31"/>
    <w:basedOn w:val="TableNormal"/>
    <w:uiPriority w:val="99"/>
    <w:rsid w:val="00CB699B"/>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1">
    <w:name w:val="Grid Table 2 - Accent 41"/>
    <w:basedOn w:val="TableNormal"/>
    <w:uiPriority w:val="99"/>
    <w:rsid w:val="00CB699B"/>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1">
    <w:name w:val="Grid Table 2 - Accent 51"/>
    <w:basedOn w:val="TableNormal"/>
    <w:uiPriority w:val="99"/>
    <w:rsid w:val="00CB699B"/>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auto" w:fill="FFFFFF"/>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2-Accent61">
    <w:name w:val="Grid Table 2 - Accent 61"/>
    <w:basedOn w:val="TableNormal"/>
    <w:uiPriority w:val="99"/>
    <w:rsid w:val="00CB699B"/>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31">
    <w:name w:val="Grid Table 31"/>
    <w:basedOn w:val="TableNormal"/>
    <w:uiPriority w:val="99"/>
    <w:rsid w:val="00CB699B"/>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1">
    <w:name w:val="Grid Table 3 - Accent 11"/>
    <w:basedOn w:val="TableNormal"/>
    <w:uiPriority w:val="99"/>
    <w:rsid w:val="00CB699B"/>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1" w:themeFillTint="34"/>
      </w:tcPr>
    </w:tblStylePr>
    <w:tblStylePr w:type="band1Horz">
      <w:rPr>
        <w:rFonts w:ascii="Arial" w:hAnsi="Arial"/>
        <w:color w:val="404040"/>
        <w:sz w:val="22"/>
      </w:rPr>
      <w:tblPr/>
      <w:tcPr>
        <w:shd w:val="clear" w:color="auto" w:fill="DDEAF6" w:themeFill="accent1" w:themeFillTint="34"/>
      </w:tcPr>
    </w:tblStylePr>
  </w:style>
  <w:style w:type="table" w:customStyle="1" w:styleId="GridTable3-Accent21">
    <w:name w:val="Grid Table 3 - Accent 21"/>
    <w:basedOn w:val="TableNormal"/>
    <w:uiPriority w:val="99"/>
    <w:rsid w:val="00CB699B"/>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1">
    <w:name w:val="Grid Table 3 - Accent 31"/>
    <w:basedOn w:val="TableNormal"/>
    <w:uiPriority w:val="99"/>
    <w:rsid w:val="00CB699B"/>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1">
    <w:name w:val="Grid Table 3 - Accent 41"/>
    <w:basedOn w:val="TableNormal"/>
    <w:uiPriority w:val="99"/>
    <w:rsid w:val="00CB699B"/>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1">
    <w:name w:val="Grid Table 3 - Accent 51"/>
    <w:basedOn w:val="TableNormal"/>
    <w:uiPriority w:val="99"/>
    <w:rsid w:val="00CB699B"/>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3-Accent61">
    <w:name w:val="Grid Table 3 - Accent 61"/>
    <w:basedOn w:val="TableNormal"/>
    <w:uiPriority w:val="99"/>
    <w:rsid w:val="00CB699B"/>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41">
    <w:name w:val="Grid Table 41"/>
    <w:basedOn w:val="TableNormal"/>
    <w:uiPriority w:val="59"/>
    <w:rsid w:val="00CB699B"/>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1">
    <w:name w:val="Grid Table 4 - Accent 11"/>
    <w:basedOn w:val="TableNormal"/>
    <w:uiPriority w:val="59"/>
    <w:rsid w:val="00CB699B"/>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auto"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EEBF6" w:themeFill="accent1" w:themeFillTint="32"/>
      </w:tcPr>
    </w:tblStylePr>
    <w:tblStylePr w:type="band1Horz">
      <w:rPr>
        <w:rFonts w:ascii="Arial" w:hAnsi="Arial"/>
        <w:color w:val="404040"/>
        <w:sz w:val="22"/>
      </w:rPr>
      <w:tblPr/>
      <w:tcPr>
        <w:shd w:val="clear" w:color="auto" w:fill="DEEBF6" w:themeFill="accent1" w:themeFillTint="32"/>
      </w:tcPr>
    </w:tblStylePr>
  </w:style>
  <w:style w:type="table" w:customStyle="1" w:styleId="GridTable4-Accent21">
    <w:name w:val="Grid Table 4 - Accent 21"/>
    <w:basedOn w:val="TableNormal"/>
    <w:uiPriority w:val="59"/>
    <w:rsid w:val="00CB699B"/>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1">
    <w:name w:val="Grid Table 4 - Accent 31"/>
    <w:basedOn w:val="TableNormal"/>
    <w:uiPriority w:val="59"/>
    <w:rsid w:val="00CB699B"/>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1">
    <w:name w:val="Grid Table 4 - Accent 41"/>
    <w:basedOn w:val="TableNormal"/>
    <w:uiPriority w:val="59"/>
    <w:rsid w:val="00CB699B"/>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1">
    <w:name w:val="Grid Table 4 - Accent 51"/>
    <w:basedOn w:val="TableNormal"/>
    <w:uiPriority w:val="59"/>
    <w:rsid w:val="00CB699B"/>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auto"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4-Accent61">
    <w:name w:val="Grid Table 4 - Accent 61"/>
    <w:basedOn w:val="TableNormal"/>
    <w:uiPriority w:val="59"/>
    <w:rsid w:val="00CB699B"/>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5Dark1">
    <w:name w:val="Grid Table 5 Dark1"/>
    <w:basedOn w:val="TableNormal"/>
    <w:uiPriority w:val="99"/>
    <w:rsid w:val="00CB699B"/>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1">
    <w:name w:val="Grid Table 5 Dark - Accent 11"/>
    <w:basedOn w:val="TableNormal"/>
    <w:uiPriority w:val="99"/>
    <w:rsid w:val="00CB699B"/>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1" w:themeFillTint="34"/>
    </w:tblPr>
    <w:tblStylePr w:type="firstRow">
      <w:rPr>
        <w:rFonts w:ascii="Arial" w:hAnsi="Arial"/>
        <w:b/>
        <w:color w:val="FFFFFF"/>
        <w:sz w:val="22"/>
      </w:rPr>
      <w:tblPr/>
      <w:tcPr>
        <w:shd w:val="clear" w:color="auto" w:fill="5B9BD5" w:themeFill="accent1"/>
      </w:tcPr>
    </w:tblStylePr>
    <w:tblStylePr w:type="lastRow">
      <w:rPr>
        <w:rFonts w:ascii="Arial" w:hAnsi="Arial"/>
        <w:b/>
        <w:color w:val="FFFFFF"/>
        <w:sz w:val="22"/>
      </w:rPr>
      <w:tblPr/>
      <w:tcPr>
        <w:tcBorders>
          <w:top w:val="single" w:sz="4" w:space="0" w:color="FFFFFF" w:themeColor="light1"/>
        </w:tcBorders>
        <w:shd w:val="clear" w:color="auto" w:fill="5B9BD5" w:themeFill="accent1"/>
      </w:tcPr>
    </w:tblStylePr>
    <w:tblStylePr w:type="firstCol">
      <w:rPr>
        <w:rFonts w:ascii="Arial" w:hAnsi="Arial"/>
        <w:b/>
        <w:color w:val="FFFFFF"/>
        <w:sz w:val="22"/>
      </w:rPr>
      <w:tblPr/>
      <w:tcPr>
        <w:shd w:val="clear" w:color="auto" w:fill="5B9BD5" w:themeFill="accent1"/>
      </w:tcPr>
    </w:tblStylePr>
    <w:tblStylePr w:type="lastCol">
      <w:rPr>
        <w:rFonts w:ascii="Arial" w:hAnsi="Arial"/>
        <w:b/>
        <w:color w:val="FFFFFF"/>
        <w:sz w:val="22"/>
      </w:rPr>
      <w:tblPr/>
      <w:tcPr>
        <w:shd w:val="clear" w:color="auto" w:fill="5B9BD5" w:themeFill="accent1"/>
      </w:tcPr>
    </w:tblStylePr>
    <w:tblStylePr w:type="band1Vert">
      <w:tblPr/>
      <w:tcPr>
        <w:shd w:val="clear" w:color="auto" w:fill="B3D0EB" w:themeFill="accent1" w:themeFillTint="75"/>
      </w:tcPr>
    </w:tblStylePr>
    <w:tblStylePr w:type="band1Horz">
      <w:tblPr/>
      <w:tcPr>
        <w:shd w:val="clear" w:color="auto" w:fill="B3D0EB" w:themeFill="accent1" w:themeFillTint="75"/>
      </w:tcPr>
    </w:tblStylePr>
  </w:style>
  <w:style w:type="table" w:customStyle="1" w:styleId="GridTable5Dark-Accent21">
    <w:name w:val="Grid Table 5 Dark - Accent 21"/>
    <w:basedOn w:val="TableNormal"/>
    <w:uiPriority w:val="99"/>
    <w:rsid w:val="00CB699B"/>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1">
    <w:name w:val="Grid Table 5 Dark - Accent 31"/>
    <w:basedOn w:val="TableNormal"/>
    <w:uiPriority w:val="99"/>
    <w:rsid w:val="00CB699B"/>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1">
    <w:name w:val="Grid Table 5 Dark - Accent 41"/>
    <w:basedOn w:val="TableNormal"/>
    <w:uiPriority w:val="99"/>
    <w:rsid w:val="00CB699B"/>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1">
    <w:name w:val="Grid Table 5 Dark - Accent 51"/>
    <w:basedOn w:val="TableNormal"/>
    <w:uiPriority w:val="99"/>
    <w:rsid w:val="00CB699B"/>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5" w:themeFillTint="34"/>
    </w:tblPr>
    <w:tblStylePr w:type="firstRow">
      <w:rPr>
        <w:rFonts w:ascii="Arial" w:hAnsi="Arial"/>
        <w:b/>
        <w:color w:val="FFFFFF"/>
        <w:sz w:val="22"/>
      </w:rPr>
      <w:tblPr/>
      <w:tcPr>
        <w:shd w:val="clear" w:color="auto" w:fill="4472C4" w:themeFill="accent5"/>
      </w:tcPr>
    </w:tblStylePr>
    <w:tblStylePr w:type="lastRow">
      <w:rPr>
        <w:rFonts w:ascii="Arial" w:hAnsi="Arial"/>
        <w:b/>
        <w:color w:val="FFFFFF"/>
        <w:sz w:val="22"/>
      </w:rPr>
      <w:tblPr/>
      <w:tcPr>
        <w:tcBorders>
          <w:top w:val="single" w:sz="4" w:space="0" w:color="FFFFFF" w:themeColor="light1"/>
        </w:tcBorders>
        <w:shd w:val="clear" w:color="auto" w:fill="4472C4" w:themeFill="accent5"/>
      </w:tcPr>
    </w:tblStylePr>
    <w:tblStylePr w:type="firstCol">
      <w:rPr>
        <w:rFonts w:ascii="Arial" w:hAnsi="Arial"/>
        <w:b/>
        <w:color w:val="FFFFFF"/>
        <w:sz w:val="22"/>
      </w:rPr>
      <w:tblPr/>
      <w:tcPr>
        <w:shd w:val="clear" w:color="auto" w:fill="4472C4" w:themeFill="accent5"/>
      </w:tcPr>
    </w:tblStylePr>
    <w:tblStylePr w:type="lastCol">
      <w:rPr>
        <w:rFonts w:ascii="Arial" w:hAnsi="Arial"/>
        <w:b/>
        <w:color w:val="FFFFFF"/>
        <w:sz w:val="22"/>
      </w:rPr>
      <w:tblPr/>
      <w:tcPr>
        <w:shd w:val="clear" w:color="auto" w:fill="4472C4" w:themeFill="accent5"/>
      </w:tcPr>
    </w:tblStylePr>
    <w:tblStylePr w:type="band1Vert">
      <w:tblPr/>
      <w:tcPr>
        <w:shd w:val="clear" w:color="auto" w:fill="A9BEE4" w:themeFill="accent5" w:themeFillTint="75"/>
      </w:tcPr>
    </w:tblStylePr>
    <w:tblStylePr w:type="band1Horz">
      <w:tblPr/>
      <w:tcPr>
        <w:shd w:val="clear" w:color="auto" w:fill="A9BEE4" w:themeFill="accent5" w:themeFillTint="75"/>
      </w:tcPr>
    </w:tblStylePr>
  </w:style>
  <w:style w:type="table" w:customStyle="1" w:styleId="GridTable5Dark-Accent61">
    <w:name w:val="Grid Table 5 Dark - Accent 61"/>
    <w:basedOn w:val="TableNormal"/>
    <w:uiPriority w:val="99"/>
    <w:rsid w:val="00CB699B"/>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customStyle="1" w:styleId="GridTable6Colorful1">
    <w:name w:val="Grid Table 6 Colorful1"/>
    <w:basedOn w:val="TableNormal"/>
    <w:uiPriority w:val="99"/>
    <w:rsid w:val="00CB699B"/>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rsid w:val="00CB699B"/>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auto" w:fill="DDEAF6" w:themeFill="accent1" w:themeFillTint="34"/>
      </w:tcPr>
    </w:tblStylePr>
    <w:tblStylePr w:type="band1Horz">
      <w:rPr>
        <w:rFonts w:ascii="Arial" w:hAnsi="Arial"/>
        <w:color w:val="ACCCEA" w:themeColor="accent1" w:themeTint="80" w:themeShade="95"/>
        <w:sz w:val="22"/>
      </w:rPr>
      <w:tblPr/>
      <w:tcPr>
        <w:shd w:val="clear" w:color="auto"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1">
    <w:name w:val="Grid Table 6 Colorful - Accent 21"/>
    <w:basedOn w:val="TableNormal"/>
    <w:uiPriority w:val="99"/>
    <w:rsid w:val="00CB699B"/>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eNormal"/>
    <w:uiPriority w:val="99"/>
    <w:rsid w:val="00CB699B"/>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eNormal"/>
    <w:uiPriority w:val="99"/>
    <w:rsid w:val="00CB699B"/>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eNormal"/>
    <w:uiPriority w:val="99"/>
    <w:rsid w:val="00CB699B"/>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auto" w:fill="D8E2F3" w:themeFill="accent5" w:themeFillTint="34"/>
      </w:tcPr>
    </w:tblStylePr>
    <w:tblStylePr w:type="band1Horz">
      <w:rPr>
        <w:rFonts w:ascii="Arial" w:hAnsi="Arial"/>
        <w:color w:val="254175" w:themeColor="accent5" w:themeShade="95"/>
        <w:sz w:val="22"/>
      </w:rPr>
      <w:tblPr/>
      <w:tcPr>
        <w:shd w:val="clear" w:color="auto"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1">
    <w:name w:val="Grid Table 6 Colorful - Accent 61"/>
    <w:basedOn w:val="TableNormal"/>
    <w:uiPriority w:val="99"/>
    <w:rsid w:val="00CB699B"/>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auto" w:fill="E1EFD8" w:themeFill="accent6" w:themeFillTint="34"/>
      </w:tcPr>
    </w:tblStylePr>
    <w:tblStylePr w:type="band1Horz">
      <w:rPr>
        <w:rFonts w:ascii="Arial" w:hAnsi="Arial"/>
        <w:color w:val="254175" w:themeColor="accent5" w:themeShade="95"/>
        <w:sz w:val="22"/>
      </w:rPr>
      <w:tblPr/>
      <w:tcPr>
        <w:shd w:val="clear" w:color="auto" w:fill="E1EFD8" w:themeFill="accent6" w:themeFillTint="34"/>
      </w:tcPr>
    </w:tblStylePr>
    <w:tblStylePr w:type="band2Horz">
      <w:rPr>
        <w:rFonts w:ascii="Arial" w:hAnsi="Arial"/>
        <w:color w:val="254175" w:themeColor="accent5" w:themeShade="95"/>
        <w:sz w:val="22"/>
      </w:rPr>
    </w:tblStylePr>
  </w:style>
  <w:style w:type="table" w:customStyle="1" w:styleId="GridTable7Colorful1">
    <w:name w:val="Grid Table 7 Colorful1"/>
    <w:basedOn w:val="TableNormal"/>
    <w:uiPriority w:val="99"/>
    <w:rsid w:val="00CB699B"/>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FFFFF" w:themeFill="text1" w:themeFillTint="00"/>
      </w:tcPr>
    </w:tblStylePr>
    <w:tblStylePr w:type="band1Horz">
      <w:rPr>
        <w:rFonts w:ascii="Arial" w:hAnsi="Arial"/>
        <w:color w:val="7F7F7F" w:themeColor="text1" w:themeTint="80" w:themeShade="95"/>
        <w:sz w:val="22"/>
      </w:rPr>
      <w:tblPr/>
      <w:tcPr>
        <w:shd w:val="clear" w:color="auto" w:fill="FFFFFF" w:themeFill="text1" w:themeFillTint="00"/>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rsid w:val="00CB699B"/>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auto"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auto" w:fill="FFFFFF"/>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auto" w:fill="FFFFFF"/>
      </w:tcPr>
    </w:tblStylePr>
    <w:tblStylePr w:type="band1Vert">
      <w:tblPr/>
      <w:tcPr>
        <w:shd w:val="clear" w:color="auto" w:fill="DDEAF6" w:themeFill="accent1" w:themeFillTint="34"/>
      </w:tcPr>
    </w:tblStylePr>
    <w:tblStylePr w:type="band1Horz">
      <w:rPr>
        <w:rFonts w:ascii="Arial" w:hAnsi="Arial"/>
        <w:color w:val="ACCCEA" w:themeColor="accent1" w:themeTint="80" w:themeShade="95"/>
        <w:sz w:val="22"/>
      </w:rPr>
      <w:tblPr/>
      <w:tcPr>
        <w:shd w:val="clear" w:color="auto"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1">
    <w:name w:val="Grid Table 7 Colorful - Accent 21"/>
    <w:basedOn w:val="TableNormal"/>
    <w:uiPriority w:val="99"/>
    <w:rsid w:val="00CB699B"/>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eNormal"/>
    <w:uiPriority w:val="99"/>
    <w:rsid w:val="00CB699B"/>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eNormal"/>
    <w:uiPriority w:val="99"/>
    <w:rsid w:val="00CB699B"/>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eNormal"/>
    <w:uiPriority w:val="99"/>
    <w:rsid w:val="00CB699B"/>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auto"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auto" w:fill="FFFFFF"/>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auto" w:fill="FFFFFF"/>
      </w:tcPr>
    </w:tblStylePr>
    <w:tblStylePr w:type="band1Vert">
      <w:tblPr/>
      <w:tcPr>
        <w:shd w:val="clear" w:color="auto" w:fill="D8E2F3" w:themeFill="accent5" w:themeFillTint="34"/>
      </w:tcPr>
    </w:tblStylePr>
    <w:tblStylePr w:type="band1Horz">
      <w:rPr>
        <w:rFonts w:ascii="Arial" w:hAnsi="Arial"/>
        <w:color w:val="254175" w:themeColor="accent5" w:themeShade="95"/>
        <w:sz w:val="22"/>
      </w:rPr>
      <w:tblPr/>
      <w:tcPr>
        <w:shd w:val="clear" w:color="auto"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1">
    <w:name w:val="Grid Table 7 Colorful - Accent 61"/>
    <w:basedOn w:val="TableNormal"/>
    <w:uiPriority w:val="99"/>
    <w:rsid w:val="00CB699B"/>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customStyle="1" w:styleId="ListTable1Light1">
    <w:name w:val="List Table 1 Light1"/>
    <w:basedOn w:val="TableNormal"/>
    <w:uiPriority w:val="99"/>
    <w:rsid w:val="00CB699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1">
    <w:name w:val="List Table 1 Light - Accent 11"/>
    <w:basedOn w:val="TableNormal"/>
    <w:uiPriority w:val="99"/>
    <w:rsid w:val="00CB699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1" w:themeFillTint="40"/>
      </w:tcPr>
    </w:tblStylePr>
    <w:tblStylePr w:type="band1Horz">
      <w:tblPr/>
      <w:tcPr>
        <w:shd w:val="clear" w:color="auto" w:fill="D5E5F4" w:themeFill="accent1" w:themeFillTint="40"/>
      </w:tcPr>
    </w:tblStylePr>
  </w:style>
  <w:style w:type="table" w:customStyle="1" w:styleId="ListTable1Light-Accent21">
    <w:name w:val="List Table 1 Light - Accent 21"/>
    <w:basedOn w:val="TableNormal"/>
    <w:uiPriority w:val="99"/>
    <w:rsid w:val="00CB699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1">
    <w:name w:val="List Table 1 Light - Accent 31"/>
    <w:basedOn w:val="TableNormal"/>
    <w:uiPriority w:val="99"/>
    <w:rsid w:val="00CB699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1">
    <w:name w:val="List Table 1 Light - Accent 41"/>
    <w:basedOn w:val="TableNormal"/>
    <w:uiPriority w:val="99"/>
    <w:rsid w:val="00CB699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1">
    <w:name w:val="List Table 1 Light - Accent 51"/>
    <w:basedOn w:val="TableNormal"/>
    <w:uiPriority w:val="99"/>
    <w:rsid w:val="00CB699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5" w:themeFillTint="40"/>
      </w:tcPr>
    </w:tblStylePr>
    <w:tblStylePr w:type="band1Horz">
      <w:tblPr/>
      <w:tcPr>
        <w:shd w:val="clear" w:color="auto" w:fill="CFDBF0" w:themeFill="accent5" w:themeFillTint="40"/>
      </w:tcPr>
    </w:tblStylePr>
  </w:style>
  <w:style w:type="table" w:customStyle="1" w:styleId="ListTable1Light-Accent61">
    <w:name w:val="List Table 1 Light - Accent 61"/>
    <w:basedOn w:val="TableNormal"/>
    <w:uiPriority w:val="99"/>
    <w:rsid w:val="00CB699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customStyle="1" w:styleId="ListTable21">
    <w:name w:val="List Table 21"/>
    <w:basedOn w:val="TableNormal"/>
    <w:uiPriority w:val="99"/>
    <w:rsid w:val="00CB699B"/>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1">
    <w:name w:val="List Table 2 - Accent 11"/>
    <w:basedOn w:val="TableNormal"/>
    <w:uiPriority w:val="99"/>
    <w:rsid w:val="00CB699B"/>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1" w:themeFillTint="40"/>
      </w:tcPr>
    </w:tblStylePr>
    <w:tblStylePr w:type="band1Horz">
      <w:rPr>
        <w:rFonts w:ascii="Arial" w:hAnsi="Arial"/>
        <w:color w:val="404040"/>
        <w:sz w:val="22"/>
      </w:rPr>
      <w:tblPr/>
      <w:tcPr>
        <w:shd w:val="clear" w:color="auto" w:fill="D5E5F4" w:themeFill="accent1" w:themeFillTint="40"/>
      </w:tcPr>
    </w:tblStylePr>
  </w:style>
  <w:style w:type="table" w:customStyle="1" w:styleId="ListTable2-Accent21">
    <w:name w:val="List Table 2 - Accent 21"/>
    <w:basedOn w:val="TableNormal"/>
    <w:uiPriority w:val="99"/>
    <w:rsid w:val="00CB699B"/>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1">
    <w:name w:val="List Table 2 - Accent 31"/>
    <w:basedOn w:val="TableNormal"/>
    <w:uiPriority w:val="99"/>
    <w:rsid w:val="00CB699B"/>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1">
    <w:name w:val="List Table 2 - Accent 41"/>
    <w:basedOn w:val="TableNormal"/>
    <w:uiPriority w:val="99"/>
    <w:rsid w:val="00CB699B"/>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1">
    <w:name w:val="List Table 2 - Accent 51"/>
    <w:basedOn w:val="TableNormal"/>
    <w:uiPriority w:val="99"/>
    <w:rsid w:val="00CB699B"/>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5" w:themeFillTint="40"/>
      </w:tcPr>
    </w:tblStylePr>
    <w:tblStylePr w:type="band1Horz">
      <w:rPr>
        <w:rFonts w:ascii="Arial" w:hAnsi="Arial"/>
        <w:color w:val="404040"/>
        <w:sz w:val="22"/>
      </w:rPr>
      <w:tblPr/>
      <w:tcPr>
        <w:shd w:val="clear" w:color="auto" w:fill="CFDBF0" w:themeFill="accent5" w:themeFillTint="40"/>
      </w:tcPr>
    </w:tblStylePr>
  </w:style>
  <w:style w:type="table" w:customStyle="1" w:styleId="ListTable2-Accent61">
    <w:name w:val="List Table 2 - Accent 61"/>
    <w:basedOn w:val="TableNormal"/>
    <w:uiPriority w:val="99"/>
    <w:rsid w:val="00CB699B"/>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ListTable31">
    <w:name w:val="List Table 31"/>
    <w:basedOn w:val="TableNormal"/>
    <w:uiPriority w:val="99"/>
    <w:rsid w:val="00CB699B"/>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rsid w:val="00CB699B"/>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auto"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1">
    <w:name w:val="List Table 3 - Accent 21"/>
    <w:basedOn w:val="TableNormal"/>
    <w:uiPriority w:val="99"/>
    <w:rsid w:val="00CB699B"/>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Normal"/>
    <w:uiPriority w:val="99"/>
    <w:rsid w:val="00CB699B"/>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Normal"/>
    <w:uiPriority w:val="99"/>
    <w:rsid w:val="00CB699B"/>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Normal"/>
    <w:uiPriority w:val="99"/>
    <w:rsid w:val="00CB699B"/>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auto"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1">
    <w:name w:val="List Table 3 - Accent 61"/>
    <w:basedOn w:val="TableNormal"/>
    <w:uiPriority w:val="99"/>
    <w:rsid w:val="00CB699B"/>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1">
    <w:name w:val="List Table 41"/>
    <w:basedOn w:val="TableNormal"/>
    <w:uiPriority w:val="99"/>
    <w:rsid w:val="00CB699B"/>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1">
    <w:name w:val="List Table 4 - Accent 11"/>
    <w:basedOn w:val="TableNormal"/>
    <w:uiPriority w:val="99"/>
    <w:rsid w:val="00CB699B"/>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auto"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1" w:themeFillTint="40"/>
      </w:tcPr>
    </w:tblStylePr>
    <w:tblStylePr w:type="band1Horz">
      <w:rPr>
        <w:rFonts w:ascii="Arial" w:hAnsi="Arial"/>
        <w:color w:val="404040"/>
        <w:sz w:val="22"/>
      </w:rPr>
      <w:tblPr/>
      <w:tcPr>
        <w:shd w:val="clear" w:color="auto" w:fill="D5E5F4" w:themeFill="accent1" w:themeFillTint="40"/>
      </w:tcPr>
    </w:tblStylePr>
  </w:style>
  <w:style w:type="table" w:customStyle="1" w:styleId="ListTable4-Accent21">
    <w:name w:val="List Table 4 - Accent 21"/>
    <w:basedOn w:val="TableNormal"/>
    <w:uiPriority w:val="99"/>
    <w:rsid w:val="00CB699B"/>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1">
    <w:name w:val="List Table 4 - Accent 31"/>
    <w:basedOn w:val="TableNormal"/>
    <w:uiPriority w:val="99"/>
    <w:rsid w:val="00CB699B"/>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1">
    <w:name w:val="List Table 4 - Accent 41"/>
    <w:basedOn w:val="TableNormal"/>
    <w:uiPriority w:val="99"/>
    <w:rsid w:val="00CB699B"/>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1">
    <w:name w:val="List Table 4 - Accent 51"/>
    <w:basedOn w:val="TableNormal"/>
    <w:uiPriority w:val="99"/>
    <w:rsid w:val="00CB699B"/>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auto"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5" w:themeFillTint="40"/>
      </w:tcPr>
    </w:tblStylePr>
    <w:tblStylePr w:type="band1Horz">
      <w:rPr>
        <w:rFonts w:ascii="Arial" w:hAnsi="Arial"/>
        <w:color w:val="404040"/>
        <w:sz w:val="22"/>
      </w:rPr>
      <w:tblPr/>
      <w:tcPr>
        <w:shd w:val="clear" w:color="auto" w:fill="CFDBF0" w:themeFill="accent5" w:themeFillTint="40"/>
      </w:tcPr>
    </w:tblStylePr>
  </w:style>
  <w:style w:type="table" w:customStyle="1" w:styleId="ListTable4-Accent61">
    <w:name w:val="List Table 4 - Accent 61"/>
    <w:basedOn w:val="TableNormal"/>
    <w:uiPriority w:val="99"/>
    <w:rsid w:val="00CB699B"/>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ListTable5Dark1">
    <w:name w:val="List Table 5 Dark1"/>
    <w:basedOn w:val="TableNormal"/>
    <w:uiPriority w:val="99"/>
    <w:rsid w:val="00CB699B"/>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1">
    <w:name w:val="List Table 5 Dark - Accent 11"/>
    <w:basedOn w:val="TableNormal"/>
    <w:uiPriority w:val="99"/>
    <w:rsid w:val="00CB699B"/>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auto"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auto"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auto"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5B9BD5" w:themeFill="accent1"/>
      </w:tcPr>
    </w:tblStylePr>
    <w:tblStylePr w:type="band2Horz">
      <w:tblPr/>
      <w:tcPr>
        <w:tcBorders>
          <w:top w:val="single" w:sz="4" w:space="0" w:color="FFFFFF" w:themeColor="light1"/>
          <w:bottom w:val="single" w:sz="4" w:space="0" w:color="FFFFFF" w:themeColor="light1"/>
        </w:tcBorders>
        <w:shd w:val="clear" w:color="auto" w:fill="5B9BD5" w:themeFill="accent1"/>
      </w:tcPr>
    </w:tblStylePr>
  </w:style>
  <w:style w:type="table" w:customStyle="1" w:styleId="ListTable5Dark-Accent21">
    <w:name w:val="List Table 5 Dark - Accent 21"/>
    <w:basedOn w:val="TableNormal"/>
    <w:uiPriority w:val="99"/>
    <w:rsid w:val="00CB699B"/>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1">
    <w:name w:val="List Table 5 Dark - Accent 31"/>
    <w:basedOn w:val="TableNormal"/>
    <w:uiPriority w:val="99"/>
    <w:rsid w:val="00CB699B"/>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1">
    <w:name w:val="List Table 5 Dark - Accent 41"/>
    <w:basedOn w:val="TableNormal"/>
    <w:uiPriority w:val="99"/>
    <w:rsid w:val="00CB699B"/>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1">
    <w:name w:val="List Table 5 Dark - Accent 51"/>
    <w:basedOn w:val="TableNormal"/>
    <w:uiPriority w:val="99"/>
    <w:rsid w:val="00CB699B"/>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auto"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auto"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auto"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8DA9DB" w:themeFill="accent5" w:themeFillTint="9A"/>
      </w:tcPr>
    </w:tblStylePr>
    <w:tblStylePr w:type="band2Horz">
      <w:tblPr/>
      <w:tcPr>
        <w:tcBorders>
          <w:top w:val="single" w:sz="4" w:space="0" w:color="FFFFFF" w:themeColor="light1"/>
          <w:bottom w:val="single" w:sz="4" w:space="0" w:color="FFFFFF" w:themeColor="light1"/>
        </w:tcBorders>
        <w:shd w:val="clear" w:color="auto" w:fill="8DA9DB" w:themeFill="accent5" w:themeFillTint="9A"/>
      </w:tcPr>
    </w:tblStylePr>
  </w:style>
  <w:style w:type="table" w:customStyle="1" w:styleId="ListTable5Dark-Accent61">
    <w:name w:val="List Table 5 Dark - Accent 61"/>
    <w:basedOn w:val="TableNormal"/>
    <w:uiPriority w:val="99"/>
    <w:rsid w:val="00CB699B"/>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customStyle="1" w:styleId="ListTable6Colorful1">
    <w:name w:val="List Table 6 Colorful1"/>
    <w:basedOn w:val="TableNormal"/>
    <w:uiPriority w:val="99"/>
    <w:rsid w:val="00CB699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rsid w:val="00CB699B"/>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auto" w:fill="D5E5F4" w:themeFill="accent1" w:themeFillTint="40"/>
      </w:tcPr>
    </w:tblStylePr>
    <w:tblStylePr w:type="band1Horz">
      <w:rPr>
        <w:rFonts w:ascii="Arial" w:hAnsi="Arial"/>
        <w:color w:val="245A8D" w:themeColor="accent1" w:themeShade="95"/>
        <w:sz w:val="22"/>
      </w:rPr>
      <w:tblPr/>
      <w:tcPr>
        <w:shd w:val="clear" w:color="auto"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1">
    <w:name w:val="List Table 6 Colorful - Accent 21"/>
    <w:basedOn w:val="TableNormal"/>
    <w:uiPriority w:val="99"/>
    <w:rsid w:val="00CB699B"/>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eNormal"/>
    <w:uiPriority w:val="99"/>
    <w:rsid w:val="00CB699B"/>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eNormal"/>
    <w:uiPriority w:val="99"/>
    <w:rsid w:val="00CB699B"/>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eNormal"/>
    <w:uiPriority w:val="99"/>
    <w:rsid w:val="00CB699B"/>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auto" w:fill="CFDBF0" w:themeFill="accent5" w:themeFillTint="40"/>
      </w:tcPr>
    </w:tblStylePr>
    <w:tblStylePr w:type="band1Horz">
      <w:rPr>
        <w:rFonts w:ascii="Arial" w:hAnsi="Arial"/>
        <w:color w:val="8DA9DB" w:themeColor="accent5" w:themeTint="9A" w:themeShade="95"/>
        <w:sz w:val="22"/>
      </w:rPr>
      <w:tblPr/>
      <w:tcPr>
        <w:shd w:val="clear" w:color="auto"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1">
    <w:name w:val="List Table 6 Colorful - Accent 61"/>
    <w:basedOn w:val="TableNormal"/>
    <w:uiPriority w:val="99"/>
    <w:rsid w:val="00CB699B"/>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1">
    <w:name w:val="List Table 7 Colorful1"/>
    <w:basedOn w:val="TableNormal"/>
    <w:uiPriority w:val="99"/>
    <w:rsid w:val="00CB699B"/>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rsid w:val="00CB699B"/>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auto"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auto" w:fill="FFFFFF"/>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auto" w:fill="FFFFFF"/>
      </w:tcPr>
    </w:tblStylePr>
    <w:tblStylePr w:type="band1Vert">
      <w:tblPr/>
      <w:tcPr>
        <w:shd w:val="clear" w:color="auto" w:fill="D5E5F4" w:themeFill="accent1" w:themeFillTint="40"/>
      </w:tcPr>
    </w:tblStylePr>
    <w:tblStylePr w:type="band1Horz">
      <w:rPr>
        <w:rFonts w:ascii="Arial" w:hAnsi="Arial"/>
        <w:color w:val="245A8D" w:themeColor="accent1" w:themeShade="95"/>
        <w:sz w:val="22"/>
      </w:rPr>
      <w:tblPr/>
      <w:tcPr>
        <w:shd w:val="clear" w:color="auto"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1">
    <w:name w:val="List Table 7 Colorful - Accent 21"/>
    <w:basedOn w:val="TableNormal"/>
    <w:uiPriority w:val="99"/>
    <w:rsid w:val="00CB699B"/>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eNormal"/>
    <w:uiPriority w:val="99"/>
    <w:rsid w:val="00CB699B"/>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eNormal"/>
    <w:uiPriority w:val="99"/>
    <w:rsid w:val="00CB699B"/>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eNormal"/>
    <w:uiPriority w:val="99"/>
    <w:rsid w:val="00CB699B"/>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auto"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auto" w:fill="FFFFFF"/>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auto" w:fill="FFFFFF"/>
      </w:tcPr>
    </w:tblStylePr>
    <w:tblStylePr w:type="band1Vert">
      <w:tblPr/>
      <w:tcPr>
        <w:shd w:val="clear" w:color="auto" w:fill="CFDBF0" w:themeFill="accent5" w:themeFillTint="40"/>
      </w:tcPr>
    </w:tblStylePr>
    <w:tblStylePr w:type="band1Horz">
      <w:rPr>
        <w:rFonts w:ascii="Arial" w:hAnsi="Arial"/>
        <w:color w:val="8DA9DB" w:themeColor="accent5" w:themeTint="9A" w:themeShade="95"/>
        <w:sz w:val="22"/>
      </w:rPr>
      <w:tblPr/>
      <w:tcPr>
        <w:shd w:val="clear" w:color="auto"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1">
    <w:name w:val="List Table 7 Colorful - Accent 61"/>
    <w:basedOn w:val="TableNormal"/>
    <w:uiPriority w:val="99"/>
    <w:rsid w:val="00CB699B"/>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sid w:val="00CB699B"/>
    <w:pPr>
      <w:spacing w:after="0" w:line="240" w:lineRule="auto"/>
    </w:pPr>
    <w:rPr>
      <w:color w:val="404040"/>
      <w:sz w:val="20"/>
      <w:szCs w:val="20"/>
      <w:lang w:eastAsia="lv-LV"/>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FFFFF" w:themeFill="text1" w:themeFillTint="00"/>
      </w:tcPr>
    </w:tblStylePr>
    <w:tblStylePr w:type="band1Horz">
      <w:rPr>
        <w:rFonts w:ascii="Arial" w:hAnsi="Arial"/>
        <w:color w:val="404040"/>
        <w:sz w:val="22"/>
      </w:rPr>
    </w:tblStylePr>
    <w:tblStylePr w:type="band2Horz">
      <w:rPr>
        <w:rFonts w:ascii="Arial" w:hAnsi="Arial"/>
        <w:color w:val="404040"/>
        <w:sz w:val="22"/>
      </w:rPr>
      <w:tblPr/>
      <w:tcPr>
        <w:shd w:val="clear" w:color="auto" w:fill="FFFFFF" w:themeFill="text1" w:themeFillTint="00"/>
      </w:tcPr>
    </w:tblStylePr>
  </w:style>
  <w:style w:type="table" w:customStyle="1" w:styleId="Lined-Accent1">
    <w:name w:val="Lined - Accent 1"/>
    <w:basedOn w:val="TableNormal"/>
    <w:uiPriority w:val="99"/>
    <w:rsid w:val="00CB699B"/>
    <w:pPr>
      <w:spacing w:after="0" w:line="240" w:lineRule="auto"/>
    </w:pPr>
    <w:rPr>
      <w:color w:val="404040"/>
      <w:sz w:val="20"/>
      <w:szCs w:val="20"/>
      <w:lang w:eastAsia="lv-LV"/>
    </w:rPr>
    <w:tblPr>
      <w:tblStyleRowBandSize w:val="1"/>
      <w:tblStyleColBandSize w:val="1"/>
    </w:tblPr>
    <w:tblStylePr w:type="firstRow">
      <w:rPr>
        <w:rFonts w:ascii="Arial" w:hAnsi="Arial"/>
        <w:color w:val="F2F2F2"/>
        <w:sz w:val="22"/>
      </w:rPr>
      <w:tblPr/>
      <w:tcPr>
        <w:shd w:val="clear" w:color="auto" w:fill="68A2D8" w:themeFill="accent1" w:themeFillTint="EA"/>
      </w:tcPr>
    </w:tblStylePr>
    <w:tblStylePr w:type="lastRow">
      <w:rPr>
        <w:rFonts w:ascii="Arial" w:hAnsi="Arial"/>
        <w:color w:val="F2F2F2"/>
        <w:sz w:val="22"/>
      </w:rPr>
      <w:tblPr/>
      <w:tcPr>
        <w:shd w:val="clear" w:color="auto" w:fill="68A2D8" w:themeFill="accent1" w:themeFillTint="EA"/>
      </w:tcPr>
    </w:tblStylePr>
    <w:tblStylePr w:type="firstCol">
      <w:rPr>
        <w:rFonts w:ascii="Arial" w:hAnsi="Arial"/>
        <w:color w:val="F2F2F2"/>
        <w:sz w:val="22"/>
      </w:rPr>
      <w:tblPr/>
      <w:tcPr>
        <w:shd w:val="clear" w:color="auto" w:fill="68A2D8" w:themeFill="accent1" w:themeFillTint="EA"/>
      </w:tcPr>
    </w:tblStylePr>
    <w:tblStylePr w:type="lastCol">
      <w:rPr>
        <w:rFonts w:ascii="Arial" w:hAnsi="Arial"/>
        <w:color w:val="F2F2F2"/>
        <w:sz w:val="22"/>
      </w:rPr>
      <w:tblPr/>
      <w:tcPr>
        <w:shd w:val="clear" w:color="auto"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BDFF1" w:themeFill="accent1" w:themeFillTint="50"/>
      </w:tcPr>
    </w:tblStylePr>
  </w:style>
  <w:style w:type="table" w:customStyle="1" w:styleId="Lined-Accent2">
    <w:name w:val="Lined - Accent 2"/>
    <w:basedOn w:val="TableNormal"/>
    <w:uiPriority w:val="99"/>
    <w:rsid w:val="00CB699B"/>
    <w:pPr>
      <w:spacing w:after="0" w:line="240" w:lineRule="auto"/>
    </w:pPr>
    <w:rPr>
      <w:color w:val="404040"/>
      <w:sz w:val="20"/>
      <w:szCs w:val="20"/>
      <w:lang w:eastAsia="lv-LV"/>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sid w:val="00CB699B"/>
    <w:pPr>
      <w:spacing w:after="0" w:line="240" w:lineRule="auto"/>
    </w:pPr>
    <w:rPr>
      <w:color w:val="404040"/>
      <w:sz w:val="20"/>
      <w:szCs w:val="20"/>
      <w:lang w:eastAsia="lv-LV"/>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sid w:val="00CB699B"/>
    <w:pPr>
      <w:spacing w:after="0" w:line="240" w:lineRule="auto"/>
    </w:pPr>
    <w:rPr>
      <w:color w:val="404040"/>
      <w:sz w:val="20"/>
      <w:szCs w:val="20"/>
      <w:lang w:eastAsia="lv-LV"/>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sid w:val="00CB699B"/>
    <w:pPr>
      <w:spacing w:after="0" w:line="240" w:lineRule="auto"/>
    </w:pPr>
    <w:rPr>
      <w:color w:val="404040"/>
      <w:sz w:val="20"/>
      <w:szCs w:val="20"/>
      <w:lang w:eastAsia="lv-LV"/>
    </w:rPr>
    <w:tblPr>
      <w:tblStyleRowBandSize w:val="1"/>
      <w:tblStyleColBandSize w:val="1"/>
    </w:tblPr>
    <w:tblStylePr w:type="firstRow">
      <w:rPr>
        <w:rFonts w:ascii="Arial" w:hAnsi="Arial"/>
        <w:color w:val="F2F2F2"/>
        <w:sz w:val="22"/>
      </w:rPr>
      <w:tblPr/>
      <w:tcPr>
        <w:shd w:val="clear" w:color="auto" w:fill="4472C4" w:themeFill="accent5"/>
      </w:tcPr>
    </w:tblStylePr>
    <w:tblStylePr w:type="lastRow">
      <w:rPr>
        <w:rFonts w:ascii="Arial" w:hAnsi="Arial"/>
        <w:color w:val="F2F2F2"/>
        <w:sz w:val="22"/>
      </w:rPr>
      <w:tblPr/>
      <w:tcPr>
        <w:shd w:val="clear" w:color="auto" w:fill="4472C4" w:themeFill="accent5"/>
      </w:tcPr>
    </w:tblStylePr>
    <w:tblStylePr w:type="firstCol">
      <w:rPr>
        <w:rFonts w:ascii="Arial" w:hAnsi="Arial"/>
        <w:color w:val="F2F2F2"/>
        <w:sz w:val="22"/>
      </w:rPr>
      <w:tblPr/>
      <w:tcPr>
        <w:shd w:val="clear" w:color="auto" w:fill="4472C4" w:themeFill="accent5"/>
      </w:tcPr>
    </w:tblStylePr>
    <w:tblStylePr w:type="lastCol">
      <w:rPr>
        <w:rFonts w:ascii="Arial" w:hAnsi="Arial"/>
        <w:color w:val="F2F2F2"/>
        <w:sz w:val="22"/>
      </w:rPr>
      <w:tblPr/>
      <w:tcPr>
        <w:shd w:val="clear" w:color="auto"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8E2F3" w:themeFill="accent5" w:themeFillTint="34"/>
      </w:tcPr>
    </w:tblStylePr>
  </w:style>
  <w:style w:type="table" w:customStyle="1" w:styleId="Lined-Accent6">
    <w:name w:val="Lined - Accent 6"/>
    <w:basedOn w:val="TableNormal"/>
    <w:uiPriority w:val="99"/>
    <w:rsid w:val="00CB699B"/>
    <w:pPr>
      <w:spacing w:after="0" w:line="240" w:lineRule="auto"/>
    </w:pPr>
    <w:rPr>
      <w:color w:val="404040"/>
      <w:sz w:val="20"/>
      <w:szCs w:val="20"/>
      <w:lang w:eastAsia="lv-LV"/>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sid w:val="00CB699B"/>
    <w:pPr>
      <w:spacing w:after="0" w:line="240" w:lineRule="auto"/>
    </w:pPr>
    <w:rPr>
      <w:color w:val="404040"/>
      <w:sz w:val="20"/>
      <w:szCs w:val="20"/>
      <w:lang w:eastAsia="lv-LV"/>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FFFFF" w:themeFill="text1" w:themeFillTint="00"/>
      </w:tcPr>
    </w:tblStylePr>
    <w:tblStylePr w:type="band1Horz">
      <w:rPr>
        <w:rFonts w:ascii="Arial" w:hAnsi="Arial"/>
        <w:color w:val="404040"/>
        <w:sz w:val="22"/>
      </w:rPr>
    </w:tblStylePr>
    <w:tblStylePr w:type="band2Horz">
      <w:rPr>
        <w:rFonts w:ascii="Arial" w:hAnsi="Arial"/>
        <w:color w:val="404040"/>
        <w:sz w:val="22"/>
      </w:rPr>
      <w:tblPr/>
      <w:tcPr>
        <w:shd w:val="clear" w:color="auto" w:fill="FFFFFF" w:themeFill="text1" w:themeFillTint="00"/>
      </w:tcPr>
    </w:tblStylePr>
  </w:style>
  <w:style w:type="table" w:customStyle="1" w:styleId="BorderedLined-Accent1">
    <w:name w:val="Bordered &amp; Lined - Accent 1"/>
    <w:basedOn w:val="TableNormal"/>
    <w:uiPriority w:val="99"/>
    <w:rsid w:val="00CB699B"/>
    <w:pPr>
      <w:spacing w:after="0" w:line="240" w:lineRule="auto"/>
    </w:pPr>
    <w:rPr>
      <w:color w:val="404040"/>
      <w:sz w:val="20"/>
      <w:szCs w:val="20"/>
      <w:lang w:eastAsia="lv-LV"/>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auto" w:fill="68A2D8" w:themeFill="accent1" w:themeFillTint="EA"/>
      </w:tcPr>
    </w:tblStylePr>
    <w:tblStylePr w:type="lastRow">
      <w:rPr>
        <w:rFonts w:ascii="Arial" w:hAnsi="Arial"/>
        <w:color w:val="F2F2F2"/>
        <w:sz w:val="22"/>
      </w:rPr>
      <w:tblPr/>
      <w:tcPr>
        <w:shd w:val="clear" w:color="auto" w:fill="68A2D8" w:themeFill="accent1" w:themeFillTint="EA"/>
      </w:tcPr>
    </w:tblStylePr>
    <w:tblStylePr w:type="firstCol">
      <w:rPr>
        <w:rFonts w:ascii="Arial" w:hAnsi="Arial"/>
        <w:color w:val="F2F2F2"/>
        <w:sz w:val="22"/>
      </w:rPr>
      <w:tblPr/>
      <w:tcPr>
        <w:shd w:val="clear" w:color="auto" w:fill="68A2D8" w:themeFill="accent1" w:themeFillTint="EA"/>
      </w:tcPr>
    </w:tblStylePr>
    <w:tblStylePr w:type="lastCol">
      <w:rPr>
        <w:rFonts w:ascii="Arial" w:hAnsi="Arial"/>
        <w:color w:val="F2F2F2"/>
        <w:sz w:val="22"/>
      </w:rPr>
      <w:tblPr/>
      <w:tcPr>
        <w:shd w:val="clear" w:color="auto"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BDFF1" w:themeFill="accent1" w:themeFillTint="50"/>
      </w:tcPr>
    </w:tblStylePr>
  </w:style>
  <w:style w:type="table" w:customStyle="1" w:styleId="BorderedLined-Accent2">
    <w:name w:val="Bordered &amp; Lined - Accent 2"/>
    <w:basedOn w:val="TableNormal"/>
    <w:uiPriority w:val="99"/>
    <w:rsid w:val="00CB699B"/>
    <w:pPr>
      <w:spacing w:after="0" w:line="240" w:lineRule="auto"/>
    </w:pPr>
    <w:rPr>
      <w:color w:val="404040"/>
      <w:sz w:val="20"/>
      <w:szCs w:val="20"/>
      <w:lang w:eastAsia="lv-LV"/>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sid w:val="00CB699B"/>
    <w:pPr>
      <w:spacing w:after="0" w:line="240" w:lineRule="auto"/>
    </w:pPr>
    <w:rPr>
      <w:color w:val="404040"/>
      <w:sz w:val="20"/>
      <w:szCs w:val="20"/>
      <w:lang w:eastAsia="lv-LV"/>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sid w:val="00CB699B"/>
    <w:pPr>
      <w:spacing w:after="0" w:line="240" w:lineRule="auto"/>
    </w:pPr>
    <w:rPr>
      <w:color w:val="404040"/>
      <w:sz w:val="20"/>
      <w:szCs w:val="20"/>
      <w:lang w:eastAsia="lv-LV"/>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sid w:val="00CB699B"/>
    <w:pPr>
      <w:spacing w:after="0" w:line="240" w:lineRule="auto"/>
    </w:pPr>
    <w:rPr>
      <w:color w:val="404040"/>
      <w:sz w:val="20"/>
      <w:szCs w:val="20"/>
      <w:lang w:eastAsia="lv-LV"/>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auto" w:fill="4472C4" w:themeFill="accent5"/>
      </w:tcPr>
    </w:tblStylePr>
    <w:tblStylePr w:type="lastRow">
      <w:rPr>
        <w:rFonts w:ascii="Arial" w:hAnsi="Arial"/>
        <w:color w:val="F2F2F2"/>
        <w:sz w:val="22"/>
      </w:rPr>
      <w:tblPr/>
      <w:tcPr>
        <w:shd w:val="clear" w:color="auto" w:fill="4472C4" w:themeFill="accent5"/>
      </w:tcPr>
    </w:tblStylePr>
    <w:tblStylePr w:type="firstCol">
      <w:rPr>
        <w:rFonts w:ascii="Arial" w:hAnsi="Arial"/>
        <w:color w:val="F2F2F2"/>
        <w:sz w:val="22"/>
      </w:rPr>
      <w:tblPr/>
      <w:tcPr>
        <w:shd w:val="clear" w:color="auto" w:fill="4472C4" w:themeFill="accent5"/>
      </w:tcPr>
    </w:tblStylePr>
    <w:tblStylePr w:type="lastCol">
      <w:rPr>
        <w:rFonts w:ascii="Arial" w:hAnsi="Arial"/>
        <w:color w:val="F2F2F2"/>
        <w:sz w:val="22"/>
      </w:rPr>
      <w:tblPr/>
      <w:tcPr>
        <w:shd w:val="clear" w:color="auto"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8E2F3" w:themeFill="accent5" w:themeFillTint="34"/>
      </w:tcPr>
    </w:tblStylePr>
  </w:style>
  <w:style w:type="table" w:customStyle="1" w:styleId="BorderedLined-Accent6">
    <w:name w:val="Bordered &amp; Lined - Accent 6"/>
    <w:basedOn w:val="TableNormal"/>
    <w:uiPriority w:val="99"/>
    <w:rsid w:val="00CB699B"/>
    <w:pPr>
      <w:spacing w:after="0" w:line="240" w:lineRule="auto"/>
    </w:pPr>
    <w:rPr>
      <w:color w:val="404040"/>
      <w:sz w:val="20"/>
      <w:szCs w:val="20"/>
      <w:lang w:eastAsia="lv-LV"/>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rsid w:val="00CB699B"/>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rsid w:val="00CB699B"/>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rsid w:val="00CB699B"/>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rsid w:val="00CB699B"/>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rsid w:val="00CB699B"/>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rsid w:val="00CB699B"/>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rsid w:val="00CB699B"/>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semiHidden/>
    <w:unhideWhenUsed/>
    <w:rsid w:val="00CB699B"/>
    <w:pPr>
      <w:spacing w:after="40" w:line="240" w:lineRule="auto"/>
    </w:pPr>
    <w:rPr>
      <w:sz w:val="18"/>
    </w:rPr>
  </w:style>
  <w:style w:type="character" w:customStyle="1" w:styleId="FootnoteTextChar">
    <w:name w:val="Footnote Text Char"/>
    <w:link w:val="FootnoteText"/>
    <w:uiPriority w:val="99"/>
    <w:rsid w:val="00CB699B"/>
    <w:rPr>
      <w:sz w:val="18"/>
    </w:rPr>
  </w:style>
  <w:style w:type="character" w:styleId="FootnoteReference">
    <w:name w:val="footnote reference"/>
    <w:basedOn w:val="DefaultParagraphFont"/>
    <w:uiPriority w:val="99"/>
    <w:unhideWhenUsed/>
    <w:rsid w:val="00CB699B"/>
    <w:rPr>
      <w:vertAlign w:val="superscript"/>
    </w:rPr>
  </w:style>
  <w:style w:type="paragraph" w:styleId="TOC1">
    <w:name w:val="toc 1"/>
    <w:basedOn w:val="Normal"/>
    <w:next w:val="Normal"/>
    <w:uiPriority w:val="39"/>
    <w:unhideWhenUsed/>
    <w:rsid w:val="00CB699B"/>
    <w:pPr>
      <w:spacing w:after="57"/>
    </w:pPr>
  </w:style>
  <w:style w:type="paragraph" w:styleId="TOC2">
    <w:name w:val="toc 2"/>
    <w:basedOn w:val="Normal"/>
    <w:next w:val="Normal"/>
    <w:uiPriority w:val="39"/>
    <w:unhideWhenUsed/>
    <w:rsid w:val="00CB699B"/>
    <w:pPr>
      <w:spacing w:after="57"/>
      <w:ind w:left="283"/>
    </w:pPr>
  </w:style>
  <w:style w:type="paragraph" w:styleId="TOC3">
    <w:name w:val="toc 3"/>
    <w:basedOn w:val="Normal"/>
    <w:next w:val="Normal"/>
    <w:uiPriority w:val="39"/>
    <w:unhideWhenUsed/>
    <w:rsid w:val="00CB699B"/>
    <w:pPr>
      <w:spacing w:after="57"/>
      <w:ind w:left="567"/>
    </w:pPr>
  </w:style>
  <w:style w:type="paragraph" w:styleId="TOC4">
    <w:name w:val="toc 4"/>
    <w:basedOn w:val="Normal"/>
    <w:next w:val="Normal"/>
    <w:uiPriority w:val="39"/>
    <w:unhideWhenUsed/>
    <w:rsid w:val="00CB699B"/>
    <w:pPr>
      <w:spacing w:after="57"/>
      <w:ind w:left="850"/>
    </w:pPr>
  </w:style>
  <w:style w:type="paragraph" w:styleId="TOC5">
    <w:name w:val="toc 5"/>
    <w:basedOn w:val="Normal"/>
    <w:next w:val="Normal"/>
    <w:uiPriority w:val="39"/>
    <w:unhideWhenUsed/>
    <w:rsid w:val="00CB699B"/>
    <w:pPr>
      <w:spacing w:after="57"/>
      <w:ind w:left="1134"/>
    </w:pPr>
  </w:style>
  <w:style w:type="paragraph" w:styleId="TOC6">
    <w:name w:val="toc 6"/>
    <w:basedOn w:val="Normal"/>
    <w:next w:val="Normal"/>
    <w:uiPriority w:val="39"/>
    <w:unhideWhenUsed/>
    <w:rsid w:val="00CB699B"/>
    <w:pPr>
      <w:spacing w:after="57"/>
      <w:ind w:left="1417"/>
    </w:pPr>
  </w:style>
  <w:style w:type="paragraph" w:styleId="TOC7">
    <w:name w:val="toc 7"/>
    <w:basedOn w:val="Normal"/>
    <w:next w:val="Normal"/>
    <w:uiPriority w:val="39"/>
    <w:unhideWhenUsed/>
    <w:rsid w:val="00CB699B"/>
    <w:pPr>
      <w:spacing w:after="57"/>
      <w:ind w:left="1701"/>
    </w:pPr>
  </w:style>
  <w:style w:type="paragraph" w:styleId="TOC8">
    <w:name w:val="toc 8"/>
    <w:basedOn w:val="Normal"/>
    <w:next w:val="Normal"/>
    <w:uiPriority w:val="39"/>
    <w:unhideWhenUsed/>
    <w:rsid w:val="00CB699B"/>
    <w:pPr>
      <w:spacing w:after="57"/>
      <w:ind w:left="1984"/>
    </w:pPr>
  </w:style>
  <w:style w:type="paragraph" w:styleId="TOC9">
    <w:name w:val="toc 9"/>
    <w:basedOn w:val="Normal"/>
    <w:next w:val="Normal"/>
    <w:uiPriority w:val="39"/>
    <w:unhideWhenUsed/>
    <w:rsid w:val="00CB699B"/>
    <w:pPr>
      <w:spacing w:after="57"/>
      <w:ind w:left="2268"/>
    </w:pPr>
  </w:style>
  <w:style w:type="paragraph" w:styleId="TOCHeading">
    <w:name w:val="TOC Heading"/>
    <w:uiPriority w:val="39"/>
    <w:unhideWhenUsed/>
    <w:rsid w:val="00CB699B"/>
  </w:style>
  <w:style w:type="table" w:styleId="TableGrid">
    <w:name w:val="Table Grid"/>
    <w:basedOn w:val="TableNormal"/>
    <w:uiPriority w:val="59"/>
    <w:rsid w:val="00CB699B"/>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CB699B"/>
    <w:pPr>
      <w:spacing w:after="0" w:line="240" w:lineRule="auto"/>
    </w:pPr>
    <w:rPr>
      <w:rFonts w:ascii="EUAlbertina" w:hAnsi="EUAlbertina" w:cs="EUAlbertina"/>
      <w:color w:val="000000"/>
      <w:sz w:val="24"/>
      <w:szCs w:val="24"/>
    </w:rPr>
  </w:style>
  <w:style w:type="character" w:styleId="Hyperlink">
    <w:name w:val="Hyperlink"/>
    <w:basedOn w:val="DefaultParagraphFont"/>
    <w:uiPriority w:val="99"/>
    <w:semiHidden/>
    <w:unhideWhenUsed/>
    <w:rsid w:val="00CB699B"/>
    <w:rPr>
      <w:color w:val="0000FF"/>
      <w:u w:val="single"/>
    </w:rPr>
  </w:style>
  <w:style w:type="paragraph" w:customStyle="1" w:styleId="CM1">
    <w:name w:val="CM1"/>
    <w:basedOn w:val="Default"/>
    <w:next w:val="Default"/>
    <w:uiPriority w:val="99"/>
    <w:rsid w:val="00CB699B"/>
    <w:rPr>
      <w:rFonts w:cs="Calibri"/>
      <w:color w:val="auto"/>
    </w:rPr>
  </w:style>
  <w:style w:type="paragraph" w:customStyle="1" w:styleId="CM4">
    <w:name w:val="CM4"/>
    <w:basedOn w:val="Default"/>
    <w:next w:val="Default"/>
    <w:uiPriority w:val="99"/>
    <w:rsid w:val="00CB699B"/>
    <w:rPr>
      <w:rFonts w:cs="Calibri"/>
      <w:color w:val="auto"/>
    </w:rPr>
  </w:style>
  <w:style w:type="character" w:customStyle="1" w:styleId="markedcontent">
    <w:name w:val="markedcontent"/>
    <w:basedOn w:val="DefaultParagraphFont"/>
    <w:rsid w:val="00CB699B"/>
  </w:style>
  <w:style w:type="character" w:customStyle="1" w:styleId="jlqj4b">
    <w:name w:val="jlqj4b"/>
    <w:basedOn w:val="DefaultParagraphFont"/>
    <w:rsid w:val="00CB699B"/>
  </w:style>
  <w:style w:type="paragraph" w:styleId="ListParagraph">
    <w:name w:val="List Paragraph"/>
    <w:basedOn w:val="Normal"/>
    <w:uiPriority w:val="34"/>
    <w:qFormat/>
    <w:rsid w:val="00CB699B"/>
    <w:pPr>
      <w:ind w:left="720"/>
      <w:contextualSpacing/>
    </w:pPr>
  </w:style>
  <w:style w:type="paragraph" w:styleId="CommentText">
    <w:name w:val="annotation text"/>
    <w:basedOn w:val="Normal"/>
    <w:link w:val="CommentTextChar"/>
    <w:uiPriority w:val="99"/>
    <w:semiHidden/>
    <w:unhideWhenUsed/>
    <w:rsid w:val="00CB699B"/>
    <w:pPr>
      <w:spacing w:line="240" w:lineRule="auto"/>
    </w:pPr>
    <w:rPr>
      <w:sz w:val="20"/>
      <w:szCs w:val="20"/>
    </w:rPr>
  </w:style>
  <w:style w:type="character" w:customStyle="1" w:styleId="CommentTextChar">
    <w:name w:val="Comment Text Char"/>
    <w:basedOn w:val="DefaultParagraphFont"/>
    <w:link w:val="CommentText"/>
    <w:uiPriority w:val="99"/>
    <w:semiHidden/>
    <w:rsid w:val="00CB699B"/>
    <w:rPr>
      <w:sz w:val="20"/>
      <w:szCs w:val="20"/>
    </w:rPr>
  </w:style>
  <w:style w:type="character" w:styleId="CommentReference">
    <w:name w:val="annotation reference"/>
    <w:basedOn w:val="DefaultParagraphFont"/>
    <w:uiPriority w:val="99"/>
    <w:semiHidden/>
    <w:unhideWhenUsed/>
    <w:rsid w:val="00CB699B"/>
    <w:rPr>
      <w:sz w:val="16"/>
      <w:szCs w:val="16"/>
    </w:rPr>
  </w:style>
  <w:style w:type="character" w:customStyle="1" w:styleId="docdata">
    <w:name w:val="docdata"/>
    <w:basedOn w:val="DefaultParagraphFont"/>
    <w:rsid w:val="00CB699B"/>
  </w:style>
  <w:style w:type="paragraph" w:styleId="Revision">
    <w:name w:val="Revision"/>
    <w:hidden/>
    <w:uiPriority w:val="99"/>
    <w:semiHidden/>
    <w:rsid w:val="004855F6"/>
    <w:pPr>
      <w:spacing w:after="0" w:line="240" w:lineRule="auto"/>
    </w:pPr>
  </w:style>
  <w:style w:type="paragraph" w:customStyle="1" w:styleId="placeholderparagraph">
    <w:name w:val="placeholder_paragraph"/>
    <w:qFormat/>
    <w:rPr>
      <w:rFonts w:ascii="Times New Roman" w:hAnsi="Times New Roman" w:cs="Times New Roman"/>
      <w:sz w:val="28"/>
    </w:rPr>
  </w:style>
  <w:style w:type="paragraph" w:styleId="CommentSubject">
    <w:name w:val="annotation subject"/>
    <w:basedOn w:val="CommentText"/>
    <w:next w:val="CommentText"/>
    <w:link w:val="CommentSubjectChar"/>
    <w:uiPriority w:val="99"/>
    <w:semiHidden/>
    <w:unhideWhenUsed/>
    <w:rsid w:val="00EA071E"/>
    <w:rPr>
      <w:b/>
      <w:bCs/>
    </w:rPr>
  </w:style>
  <w:style w:type="character" w:customStyle="1" w:styleId="CommentSubjectChar">
    <w:name w:val="Comment Subject Char"/>
    <w:basedOn w:val="CommentTextChar"/>
    <w:link w:val="CommentSubject"/>
    <w:uiPriority w:val="99"/>
    <w:semiHidden/>
    <w:rsid w:val="00EA071E"/>
    <w:rPr>
      <w:b/>
      <w:bCs/>
      <w:sz w:val="20"/>
      <w:szCs w:val="20"/>
    </w:rPr>
  </w:style>
  <w:style w:type="character" w:customStyle="1" w:styleId="rphighlightallclass">
    <w:name w:val="rphighlightallclass"/>
    <w:basedOn w:val="DefaultParagraphFont"/>
    <w:rsid w:val="000451A6"/>
  </w:style>
  <w:style w:type="character" w:customStyle="1" w:styleId="rpk1">
    <w:name w:val="_rp_k1"/>
    <w:basedOn w:val="DefaultParagraphFont"/>
    <w:rsid w:val="000451A6"/>
  </w:style>
  <w:style w:type="character" w:customStyle="1" w:styleId="pel">
    <w:name w:val="_pe_l"/>
    <w:basedOn w:val="DefaultParagraphFont"/>
    <w:rsid w:val="000451A6"/>
  </w:style>
  <w:style w:type="character" w:customStyle="1" w:styleId="bidi">
    <w:name w:val="bidi"/>
    <w:basedOn w:val="DefaultParagraphFont"/>
    <w:rsid w:val="000451A6"/>
  </w:style>
  <w:style w:type="character" w:customStyle="1" w:styleId="rpu1">
    <w:name w:val="_rp_u1"/>
    <w:basedOn w:val="DefaultParagraphFont"/>
    <w:rsid w:val="000451A6"/>
  </w:style>
  <w:style w:type="character" w:customStyle="1" w:styleId="allowtextselection">
    <w:name w:val="allowtextselection"/>
    <w:basedOn w:val="DefaultParagraphFont"/>
    <w:rsid w:val="000451A6"/>
  </w:style>
  <w:style w:type="character" w:customStyle="1" w:styleId="dbq">
    <w:name w:val="_db_q"/>
    <w:basedOn w:val="DefaultParagraphFont"/>
    <w:rsid w:val="000451A6"/>
  </w:style>
  <w:style w:type="paragraph" w:customStyle="1" w:styleId="xmsonormal">
    <w:name w:val="x_msonormal"/>
    <w:basedOn w:val="Normal"/>
    <w:rsid w:val="000451A6"/>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NormalWeb">
    <w:name w:val="Normal (Web)"/>
    <w:basedOn w:val="Normal"/>
    <w:uiPriority w:val="99"/>
    <w:unhideWhenUsed/>
    <w:rsid w:val="00E83839"/>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placeholderparagraph0">
    <w:name w:val="placeholder_paragraph"/>
    <w:qFormat/>
    <w:rPr>
      <w:rFonts w:ascii="Times New Roman" w:hAnsi="Times New Roman" w:cs="Times New Roman"/>
      <w:sz w:val="28"/>
    </w:rPr>
  </w:style>
  <w:style w:type="character" w:customStyle="1" w:styleId="normaltextrun">
    <w:name w:val="normaltextrun"/>
    <w:basedOn w:val="DefaultParagraphFont"/>
    <w:rsid w:val="004D5056"/>
  </w:style>
  <w:style w:type="character" w:customStyle="1" w:styleId="eop">
    <w:name w:val="eop"/>
    <w:basedOn w:val="DefaultParagraphFont"/>
    <w:rsid w:val="004D5056"/>
  </w:style>
  <w:style w:type="paragraph" w:customStyle="1" w:styleId="oj-doc-ti">
    <w:name w:val="oj-doc-ti"/>
    <w:basedOn w:val="Normal"/>
    <w:rsid w:val="002D00B6"/>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BalloonText">
    <w:name w:val="Balloon Text"/>
    <w:basedOn w:val="Normal"/>
    <w:link w:val="BalloonTextChar"/>
    <w:uiPriority w:val="99"/>
    <w:semiHidden/>
    <w:unhideWhenUsed/>
    <w:rsid w:val="00555F1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5F1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1833684">
      <w:bodyDiv w:val="1"/>
      <w:marLeft w:val="0"/>
      <w:marRight w:val="0"/>
      <w:marTop w:val="0"/>
      <w:marBottom w:val="0"/>
      <w:divBdr>
        <w:top w:val="none" w:sz="0" w:space="0" w:color="auto"/>
        <w:left w:val="none" w:sz="0" w:space="0" w:color="auto"/>
        <w:bottom w:val="none" w:sz="0" w:space="0" w:color="auto"/>
        <w:right w:val="none" w:sz="0" w:space="0" w:color="auto"/>
      </w:divBdr>
    </w:div>
    <w:div w:id="1279028957">
      <w:bodyDiv w:val="1"/>
      <w:marLeft w:val="0"/>
      <w:marRight w:val="0"/>
      <w:marTop w:val="0"/>
      <w:marBottom w:val="0"/>
      <w:divBdr>
        <w:top w:val="none" w:sz="0" w:space="0" w:color="auto"/>
        <w:left w:val="none" w:sz="0" w:space="0" w:color="auto"/>
        <w:bottom w:val="none" w:sz="0" w:space="0" w:color="auto"/>
        <w:right w:val="none" w:sz="0" w:space="0" w:color="auto"/>
      </w:divBdr>
      <w:divsChild>
        <w:div w:id="1922372791">
          <w:marLeft w:val="0"/>
          <w:marRight w:val="0"/>
          <w:marTop w:val="0"/>
          <w:marBottom w:val="0"/>
          <w:divBdr>
            <w:top w:val="none" w:sz="0" w:space="0" w:color="auto"/>
            <w:left w:val="none" w:sz="0" w:space="0" w:color="auto"/>
            <w:bottom w:val="none" w:sz="0" w:space="0" w:color="auto"/>
            <w:right w:val="none" w:sz="0" w:space="0" w:color="auto"/>
          </w:divBdr>
        </w:div>
        <w:div w:id="1341348515">
          <w:marLeft w:val="0"/>
          <w:marRight w:val="0"/>
          <w:marTop w:val="0"/>
          <w:marBottom w:val="0"/>
          <w:divBdr>
            <w:top w:val="none" w:sz="0" w:space="0" w:color="auto"/>
            <w:left w:val="none" w:sz="0" w:space="0" w:color="auto"/>
            <w:bottom w:val="none" w:sz="0" w:space="0" w:color="auto"/>
            <w:right w:val="none" w:sz="0" w:space="0" w:color="auto"/>
          </w:divBdr>
        </w:div>
      </w:divsChild>
    </w:div>
    <w:div w:id="1693722045">
      <w:bodyDiv w:val="1"/>
      <w:marLeft w:val="0"/>
      <w:marRight w:val="0"/>
      <w:marTop w:val="0"/>
      <w:marBottom w:val="0"/>
      <w:divBdr>
        <w:top w:val="none" w:sz="0" w:space="0" w:color="auto"/>
        <w:left w:val="none" w:sz="0" w:space="0" w:color="auto"/>
        <w:bottom w:val="none" w:sz="0" w:space="0" w:color="auto"/>
        <w:right w:val="none" w:sz="0" w:space="0" w:color="auto"/>
      </w:divBdr>
    </w:div>
    <w:div w:id="2046248566">
      <w:bodyDiv w:val="1"/>
      <w:marLeft w:val="0"/>
      <w:marRight w:val="0"/>
      <w:marTop w:val="0"/>
      <w:marBottom w:val="0"/>
      <w:divBdr>
        <w:top w:val="none" w:sz="0" w:space="0" w:color="auto"/>
        <w:left w:val="none" w:sz="0" w:space="0" w:color="auto"/>
        <w:bottom w:val="none" w:sz="0" w:space="0" w:color="auto"/>
        <w:right w:val="none" w:sz="0" w:space="0" w:color="auto"/>
      </w:divBdr>
    </w:div>
    <w:div w:id="2120636309">
      <w:bodyDiv w:val="1"/>
      <w:marLeft w:val="0"/>
      <w:marRight w:val="0"/>
      <w:marTop w:val="0"/>
      <w:marBottom w:val="0"/>
      <w:divBdr>
        <w:top w:val="none" w:sz="0" w:space="0" w:color="auto"/>
        <w:left w:val="none" w:sz="0" w:space="0" w:color="auto"/>
        <w:bottom w:val="none" w:sz="0" w:space="0" w:color="auto"/>
        <w:right w:val="none" w:sz="0" w:space="0" w:color="auto"/>
      </w:divBdr>
      <w:divsChild>
        <w:div w:id="1244877860">
          <w:marLeft w:val="0"/>
          <w:marRight w:val="0"/>
          <w:marTop w:val="0"/>
          <w:marBottom w:val="135"/>
          <w:divBdr>
            <w:top w:val="none" w:sz="0" w:space="0" w:color="auto"/>
            <w:left w:val="none" w:sz="0" w:space="0" w:color="auto"/>
            <w:bottom w:val="none" w:sz="0" w:space="0" w:color="auto"/>
            <w:right w:val="none" w:sz="0" w:space="0" w:color="auto"/>
          </w:divBdr>
          <w:divsChild>
            <w:div w:id="457914944">
              <w:marLeft w:val="0"/>
              <w:marRight w:val="0"/>
              <w:marTop w:val="0"/>
              <w:marBottom w:val="0"/>
              <w:divBdr>
                <w:top w:val="none" w:sz="0" w:space="0" w:color="auto"/>
                <w:left w:val="none" w:sz="0" w:space="0" w:color="auto"/>
                <w:bottom w:val="none" w:sz="0" w:space="0" w:color="auto"/>
                <w:right w:val="none" w:sz="0" w:space="0" w:color="auto"/>
              </w:divBdr>
              <w:divsChild>
                <w:div w:id="1746027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943759">
          <w:marLeft w:val="0"/>
          <w:marRight w:val="0"/>
          <w:marTop w:val="0"/>
          <w:marBottom w:val="0"/>
          <w:divBdr>
            <w:top w:val="none" w:sz="0" w:space="0" w:color="auto"/>
            <w:left w:val="none" w:sz="0" w:space="0" w:color="auto"/>
            <w:bottom w:val="none" w:sz="0" w:space="0" w:color="auto"/>
            <w:right w:val="none" w:sz="0" w:space="0" w:color="auto"/>
          </w:divBdr>
          <w:divsChild>
            <w:div w:id="1638224971">
              <w:marLeft w:val="0"/>
              <w:marRight w:val="0"/>
              <w:marTop w:val="0"/>
              <w:marBottom w:val="0"/>
              <w:divBdr>
                <w:top w:val="none" w:sz="0" w:space="0" w:color="auto"/>
                <w:left w:val="none" w:sz="0" w:space="0" w:color="auto"/>
                <w:bottom w:val="none" w:sz="0" w:space="0" w:color="auto"/>
                <w:right w:val="none" w:sz="0" w:space="0" w:color="auto"/>
              </w:divBdr>
              <w:divsChild>
                <w:div w:id="928923683">
                  <w:marLeft w:val="0"/>
                  <w:marRight w:val="0"/>
                  <w:marTop w:val="0"/>
                  <w:marBottom w:val="60"/>
                  <w:divBdr>
                    <w:top w:val="none" w:sz="0" w:space="0" w:color="auto"/>
                    <w:left w:val="none" w:sz="0" w:space="0" w:color="auto"/>
                    <w:bottom w:val="none" w:sz="0" w:space="0" w:color="auto"/>
                    <w:right w:val="none" w:sz="0" w:space="0" w:color="auto"/>
                  </w:divBdr>
                  <w:divsChild>
                    <w:div w:id="1426078565">
                      <w:marLeft w:val="0"/>
                      <w:marRight w:val="0"/>
                      <w:marTop w:val="0"/>
                      <w:marBottom w:val="0"/>
                      <w:divBdr>
                        <w:top w:val="none" w:sz="0" w:space="0" w:color="auto"/>
                        <w:left w:val="none" w:sz="0" w:space="0" w:color="auto"/>
                        <w:bottom w:val="none" w:sz="0" w:space="0" w:color="auto"/>
                        <w:right w:val="none" w:sz="0" w:space="0" w:color="auto"/>
                      </w:divBdr>
                      <w:divsChild>
                        <w:div w:id="946817075">
                          <w:marLeft w:val="0"/>
                          <w:marRight w:val="0"/>
                          <w:marTop w:val="0"/>
                          <w:marBottom w:val="0"/>
                          <w:divBdr>
                            <w:top w:val="none" w:sz="0" w:space="0" w:color="auto"/>
                            <w:left w:val="none" w:sz="0" w:space="0" w:color="auto"/>
                            <w:bottom w:val="none" w:sz="0" w:space="0" w:color="auto"/>
                            <w:right w:val="none" w:sz="0" w:space="0" w:color="auto"/>
                          </w:divBdr>
                          <w:divsChild>
                            <w:div w:id="940725048">
                              <w:marLeft w:val="0"/>
                              <w:marRight w:val="0"/>
                              <w:marTop w:val="0"/>
                              <w:marBottom w:val="30"/>
                              <w:divBdr>
                                <w:top w:val="none" w:sz="0" w:space="0" w:color="auto"/>
                                <w:left w:val="none" w:sz="0" w:space="0" w:color="auto"/>
                                <w:bottom w:val="none" w:sz="0" w:space="0" w:color="auto"/>
                                <w:right w:val="none" w:sz="0" w:space="0" w:color="auto"/>
                              </w:divBdr>
                              <w:divsChild>
                                <w:div w:id="157045103">
                                  <w:marLeft w:val="0"/>
                                  <w:marRight w:val="0"/>
                                  <w:marTop w:val="0"/>
                                  <w:marBottom w:val="0"/>
                                  <w:divBdr>
                                    <w:top w:val="none" w:sz="0" w:space="0" w:color="auto"/>
                                    <w:left w:val="none" w:sz="0" w:space="0" w:color="auto"/>
                                    <w:bottom w:val="none" w:sz="0" w:space="0" w:color="auto"/>
                                    <w:right w:val="none" w:sz="0" w:space="0" w:color="auto"/>
                                  </w:divBdr>
                                  <w:divsChild>
                                    <w:div w:id="1161652448">
                                      <w:marLeft w:val="0"/>
                                      <w:marRight w:val="0"/>
                                      <w:marTop w:val="0"/>
                                      <w:marBottom w:val="0"/>
                                      <w:divBdr>
                                        <w:top w:val="none" w:sz="0" w:space="0" w:color="auto"/>
                                        <w:left w:val="none" w:sz="0" w:space="0" w:color="auto"/>
                                        <w:bottom w:val="none" w:sz="0" w:space="0" w:color="auto"/>
                                        <w:right w:val="none" w:sz="0" w:space="0" w:color="auto"/>
                                      </w:divBdr>
                                      <w:divsChild>
                                        <w:div w:id="270402749">
                                          <w:marLeft w:val="0"/>
                                          <w:marRight w:val="0"/>
                                          <w:marTop w:val="0"/>
                                          <w:marBottom w:val="0"/>
                                          <w:divBdr>
                                            <w:top w:val="none" w:sz="0" w:space="0" w:color="auto"/>
                                            <w:left w:val="none" w:sz="0" w:space="0" w:color="auto"/>
                                            <w:bottom w:val="none" w:sz="0" w:space="0" w:color="auto"/>
                                            <w:right w:val="none" w:sz="0" w:space="0" w:color="auto"/>
                                          </w:divBdr>
                                          <w:divsChild>
                                            <w:div w:id="95828846">
                                              <w:marLeft w:val="0"/>
                                              <w:marRight w:val="150"/>
                                              <w:marTop w:val="150"/>
                                              <w:marBottom w:val="0"/>
                                              <w:divBdr>
                                                <w:top w:val="none" w:sz="0" w:space="0" w:color="auto"/>
                                                <w:left w:val="none" w:sz="0" w:space="0" w:color="auto"/>
                                                <w:bottom w:val="none" w:sz="0" w:space="0" w:color="auto"/>
                                                <w:right w:val="none" w:sz="0" w:space="0" w:color="auto"/>
                                              </w:divBdr>
                                              <w:divsChild>
                                                <w:div w:id="55856861">
                                                  <w:marLeft w:val="0"/>
                                                  <w:marRight w:val="0"/>
                                                  <w:marTop w:val="0"/>
                                                  <w:marBottom w:val="0"/>
                                                  <w:divBdr>
                                                    <w:top w:val="none" w:sz="0" w:space="0" w:color="auto"/>
                                                    <w:left w:val="none" w:sz="0" w:space="0" w:color="auto"/>
                                                    <w:bottom w:val="none" w:sz="0" w:space="0" w:color="auto"/>
                                                    <w:right w:val="none" w:sz="0" w:space="0" w:color="auto"/>
                                                  </w:divBdr>
                                                  <w:divsChild>
                                                    <w:div w:id="1996520357">
                                                      <w:marLeft w:val="0"/>
                                                      <w:marRight w:val="0"/>
                                                      <w:marTop w:val="0"/>
                                                      <w:marBottom w:val="0"/>
                                                      <w:divBdr>
                                                        <w:top w:val="none" w:sz="0" w:space="0" w:color="auto"/>
                                                        <w:left w:val="none" w:sz="0" w:space="0" w:color="auto"/>
                                                        <w:bottom w:val="none" w:sz="0" w:space="0" w:color="auto"/>
                                                        <w:right w:val="none" w:sz="0" w:space="0" w:color="auto"/>
                                                      </w:divBdr>
                                                      <w:divsChild>
                                                        <w:div w:id="520510056">
                                                          <w:marLeft w:val="0"/>
                                                          <w:marRight w:val="0"/>
                                                          <w:marTop w:val="0"/>
                                                          <w:marBottom w:val="0"/>
                                                          <w:divBdr>
                                                            <w:top w:val="none" w:sz="0" w:space="0" w:color="auto"/>
                                                            <w:left w:val="none" w:sz="0" w:space="0" w:color="auto"/>
                                                            <w:bottom w:val="none" w:sz="0" w:space="0" w:color="auto"/>
                                                            <w:right w:val="none" w:sz="0" w:space="0" w:color="auto"/>
                                                          </w:divBdr>
                                                          <w:divsChild>
                                                            <w:div w:id="20448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9632345">
                                      <w:marLeft w:val="0"/>
                                      <w:marRight w:val="0"/>
                                      <w:marTop w:val="0"/>
                                      <w:marBottom w:val="0"/>
                                      <w:divBdr>
                                        <w:top w:val="none" w:sz="0" w:space="0" w:color="auto"/>
                                        <w:left w:val="none" w:sz="0" w:space="0" w:color="auto"/>
                                        <w:bottom w:val="none" w:sz="0" w:space="0" w:color="auto"/>
                                        <w:right w:val="none" w:sz="0" w:space="0" w:color="auto"/>
                                      </w:divBdr>
                                      <w:divsChild>
                                        <w:div w:id="189490853">
                                          <w:marLeft w:val="0"/>
                                          <w:marRight w:val="0"/>
                                          <w:marTop w:val="0"/>
                                          <w:marBottom w:val="0"/>
                                          <w:divBdr>
                                            <w:top w:val="none" w:sz="0" w:space="0" w:color="auto"/>
                                            <w:left w:val="none" w:sz="0" w:space="0" w:color="auto"/>
                                            <w:bottom w:val="none" w:sz="0" w:space="0" w:color="auto"/>
                                            <w:right w:val="none" w:sz="0" w:space="0" w:color="auto"/>
                                          </w:divBdr>
                                          <w:divsChild>
                                            <w:div w:id="721830890">
                                              <w:marLeft w:val="0"/>
                                              <w:marRight w:val="0"/>
                                              <w:marTop w:val="0"/>
                                              <w:marBottom w:val="0"/>
                                              <w:divBdr>
                                                <w:top w:val="none" w:sz="0" w:space="0" w:color="auto"/>
                                                <w:left w:val="none" w:sz="0" w:space="0" w:color="auto"/>
                                                <w:bottom w:val="none" w:sz="0" w:space="0" w:color="auto"/>
                                                <w:right w:val="none" w:sz="0" w:space="0" w:color="auto"/>
                                              </w:divBdr>
                                              <w:divsChild>
                                                <w:div w:id="301272830">
                                                  <w:marLeft w:val="0"/>
                                                  <w:marRight w:val="0"/>
                                                  <w:marTop w:val="0"/>
                                                  <w:marBottom w:val="0"/>
                                                  <w:divBdr>
                                                    <w:top w:val="none" w:sz="0" w:space="0" w:color="auto"/>
                                                    <w:left w:val="none" w:sz="0" w:space="0" w:color="auto"/>
                                                    <w:bottom w:val="none" w:sz="0" w:space="0" w:color="auto"/>
                                                    <w:right w:val="none" w:sz="0" w:space="0" w:color="auto"/>
                                                  </w:divBdr>
                                                  <w:divsChild>
                                                    <w:div w:id="1358896714">
                                                      <w:marLeft w:val="0"/>
                                                      <w:marRight w:val="0"/>
                                                      <w:marTop w:val="0"/>
                                                      <w:marBottom w:val="75"/>
                                                      <w:divBdr>
                                                        <w:top w:val="none" w:sz="0" w:space="0" w:color="auto"/>
                                                        <w:left w:val="none" w:sz="0" w:space="0" w:color="auto"/>
                                                        <w:bottom w:val="none" w:sz="0" w:space="0" w:color="auto"/>
                                                        <w:right w:val="none" w:sz="0" w:space="0" w:color="auto"/>
                                                      </w:divBdr>
                                                      <w:divsChild>
                                                        <w:div w:id="197455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7244342">
                                          <w:marLeft w:val="0"/>
                                          <w:marRight w:val="0"/>
                                          <w:marTop w:val="0"/>
                                          <w:marBottom w:val="0"/>
                                          <w:divBdr>
                                            <w:top w:val="none" w:sz="0" w:space="0" w:color="auto"/>
                                            <w:left w:val="none" w:sz="0" w:space="0" w:color="auto"/>
                                            <w:bottom w:val="none" w:sz="0" w:space="0" w:color="auto"/>
                                            <w:right w:val="none" w:sz="0" w:space="0" w:color="auto"/>
                                          </w:divBdr>
                                          <w:divsChild>
                                            <w:div w:id="1438519187">
                                              <w:marLeft w:val="0"/>
                                              <w:marRight w:val="0"/>
                                              <w:marTop w:val="0"/>
                                              <w:marBottom w:val="0"/>
                                              <w:divBdr>
                                                <w:top w:val="none" w:sz="0" w:space="0" w:color="auto"/>
                                                <w:left w:val="none" w:sz="0" w:space="0" w:color="auto"/>
                                                <w:bottom w:val="none" w:sz="0" w:space="0" w:color="auto"/>
                                                <w:right w:val="none" w:sz="0" w:space="0" w:color="auto"/>
                                              </w:divBdr>
                                              <w:divsChild>
                                                <w:div w:id="1154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972507">
                                          <w:marLeft w:val="0"/>
                                          <w:marRight w:val="0"/>
                                          <w:marTop w:val="0"/>
                                          <w:marBottom w:val="0"/>
                                          <w:divBdr>
                                            <w:top w:val="none" w:sz="0" w:space="0" w:color="auto"/>
                                            <w:left w:val="none" w:sz="0" w:space="0" w:color="auto"/>
                                            <w:bottom w:val="none" w:sz="0" w:space="0" w:color="auto"/>
                                            <w:right w:val="none" w:sz="0" w:space="0" w:color="auto"/>
                                          </w:divBdr>
                                          <w:divsChild>
                                            <w:div w:id="2011638737">
                                              <w:marLeft w:val="0"/>
                                              <w:marRight w:val="0"/>
                                              <w:marTop w:val="0"/>
                                              <w:marBottom w:val="0"/>
                                              <w:divBdr>
                                                <w:top w:val="none" w:sz="0" w:space="0" w:color="auto"/>
                                                <w:left w:val="none" w:sz="0" w:space="0" w:color="auto"/>
                                                <w:bottom w:val="none" w:sz="0" w:space="0" w:color="auto"/>
                                                <w:right w:val="none" w:sz="0" w:space="0" w:color="auto"/>
                                              </w:divBdr>
                                              <w:divsChild>
                                                <w:div w:id="419788806">
                                                  <w:marLeft w:val="0"/>
                                                  <w:marRight w:val="0"/>
                                                  <w:marTop w:val="0"/>
                                                  <w:marBottom w:val="0"/>
                                                  <w:divBdr>
                                                    <w:top w:val="none" w:sz="0" w:space="0" w:color="auto"/>
                                                    <w:left w:val="none" w:sz="0" w:space="0" w:color="auto"/>
                                                    <w:bottom w:val="none" w:sz="0" w:space="0" w:color="auto"/>
                                                    <w:right w:val="none" w:sz="0" w:space="0" w:color="auto"/>
                                                  </w:divBdr>
                                                  <w:divsChild>
                                                    <w:div w:id="156383690">
                                                      <w:marLeft w:val="0"/>
                                                      <w:marRight w:val="0"/>
                                                      <w:marTop w:val="0"/>
                                                      <w:marBottom w:val="0"/>
                                                      <w:divBdr>
                                                        <w:top w:val="none" w:sz="0" w:space="0" w:color="auto"/>
                                                        <w:left w:val="none" w:sz="0" w:space="0" w:color="auto"/>
                                                        <w:bottom w:val="none" w:sz="0" w:space="0" w:color="auto"/>
                                                        <w:right w:val="none" w:sz="0" w:space="0" w:color="auto"/>
                                                      </w:divBdr>
                                                    </w:div>
                                                  </w:divsChild>
                                                </w:div>
                                                <w:div w:id="1200358904">
                                                  <w:marLeft w:val="0"/>
                                                  <w:marRight w:val="0"/>
                                                  <w:marTop w:val="0"/>
                                                  <w:marBottom w:val="0"/>
                                                  <w:divBdr>
                                                    <w:top w:val="none" w:sz="0" w:space="0" w:color="auto"/>
                                                    <w:left w:val="none" w:sz="0" w:space="0" w:color="auto"/>
                                                    <w:bottom w:val="none" w:sz="0" w:space="0" w:color="auto"/>
                                                    <w:right w:val="none" w:sz="0" w:space="0" w:color="auto"/>
                                                  </w:divBdr>
                                                  <w:divsChild>
                                                    <w:div w:id="1502311187">
                                                      <w:marLeft w:val="0"/>
                                                      <w:marRight w:val="0"/>
                                                      <w:marTop w:val="0"/>
                                                      <w:marBottom w:val="0"/>
                                                      <w:divBdr>
                                                        <w:top w:val="none" w:sz="0" w:space="0" w:color="auto"/>
                                                        <w:left w:val="none" w:sz="0" w:space="0" w:color="auto"/>
                                                        <w:bottom w:val="none" w:sz="0" w:space="0" w:color="auto"/>
                                                        <w:right w:val="none" w:sz="0" w:space="0" w:color="auto"/>
                                                      </w:divBdr>
                                                      <w:divsChild>
                                                        <w:div w:id="1438066019">
                                                          <w:marLeft w:val="0"/>
                                                          <w:marRight w:val="0"/>
                                                          <w:marTop w:val="0"/>
                                                          <w:marBottom w:val="0"/>
                                                          <w:divBdr>
                                                            <w:top w:val="none" w:sz="0" w:space="0" w:color="auto"/>
                                                            <w:left w:val="none" w:sz="0" w:space="0" w:color="auto"/>
                                                            <w:bottom w:val="none" w:sz="0" w:space="0" w:color="auto"/>
                                                            <w:right w:val="none" w:sz="0" w:space="0" w:color="auto"/>
                                                          </w:divBdr>
                                                          <w:divsChild>
                                                            <w:div w:id="1989509098">
                                                              <w:marLeft w:val="0"/>
                                                              <w:marRight w:val="0"/>
                                                              <w:marTop w:val="0"/>
                                                              <w:marBottom w:val="0"/>
                                                              <w:divBdr>
                                                                <w:top w:val="none" w:sz="0" w:space="0" w:color="auto"/>
                                                                <w:left w:val="none" w:sz="0" w:space="0" w:color="auto"/>
                                                                <w:bottom w:val="none" w:sz="0" w:space="0" w:color="auto"/>
                                                                <w:right w:val="none" w:sz="0" w:space="0" w:color="auto"/>
                                                              </w:divBdr>
                                                              <w:divsChild>
                                                                <w:div w:id="1766877358">
                                                                  <w:marLeft w:val="0"/>
                                                                  <w:marRight w:val="0"/>
                                                                  <w:marTop w:val="0"/>
                                                                  <w:marBottom w:val="0"/>
                                                                  <w:divBdr>
                                                                    <w:top w:val="none" w:sz="0" w:space="0" w:color="auto"/>
                                                                    <w:left w:val="none" w:sz="0" w:space="0" w:color="auto"/>
                                                                    <w:bottom w:val="none" w:sz="0" w:space="0" w:color="auto"/>
                                                                    <w:right w:val="none" w:sz="0" w:space="0" w:color="auto"/>
                                                                  </w:divBdr>
                                                                  <w:divsChild>
                                                                    <w:div w:id="419521526">
                                                                      <w:marLeft w:val="0"/>
                                                                      <w:marRight w:val="0"/>
                                                                      <w:marTop w:val="0"/>
                                                                      <w:marBottom w:val="0"/>
                                                                      <w:divBdr>
                                                                        <w:top w:val="none" w:sz="0" w:space="0" w:color="auto"/>
                                                                        <w:left w:val="none" w:sz="0" w:space="0" w:color="auto"/>
                                                                        <w:bottom w:val="none" w:sz="0" w:space="0" w:color="auto"/>
                                                                        <w:right w:val="none" w:sz="0" w:space="0" w:color="auto"/>
                                                                      </w:divBdr>
                                                                      <w:divsChild>
                                                                        <w:div w:id="1744328387">
                                                                          <w:marLeft w:val="0"/>
                                                                          <w:marRight w:val="0"/>
                                                                          <w:marTop w:val="0"/>
                                                                          <w:marBottom w:val="0"/>
                                                                          <w:divBdr>
                                                                            <w:top w:val="none" w:sz="0" w:space="0" w:color="auto"/>
                                                                            <w:left w:val="none" w:sz="0" w:space="0" w:color="auto"/>
                                                                            <w:bottom w:val="none" w:sz="0" w:space="0" w:color="auto"/>
                                                                            <w:right w:val="none" w:sz="0" w:space="0" w:color="auto"/>
                                                                          </w:divBdr>
                                                                          <w:divsChild>
                                                                            <w:div w:id="685327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67274148">
                          <w:marLeft w:val="0"/>
                          <w:marRight w:val="0"/>
                          <w:marTop w:val="0"/>
                          <w:marBottom w:val="0"/>
                          <w:divBdr>
                            <w:top w:val="none" w:sz="0" w:space="0" w:color="auto"/>
                            <w:left w:val="none" w:sz="0" w:space="0" w:color="auto"/>
                            <w:bottom w:val="none" w:sz="0" w:space="0" w:color="auto"/>
                            <w:right w:val="none" w:sz="0" w:space="0" w:color="auto"/>
                          </w:divBdr>
                          <w:divsChild>
                            <w:div w:id="1832527223">
                              <w:marLeft w:val="0"/>
                              <w:marRight w:val="0"/>
                              <w:marTop w:val="0"/>
                              <w:marBottom w:val="0"/>
                              <w:divBdr>
                                <w:top w:val="none" w:sz="0" w:space="0" w:color="auto"/>
                                <w:left w:val="none" w:sz="0" w:space="0" w:color="auto"/>
                                <w:bottom w:val="none" w:sz="0" w:space="0" w:color="auto"/>
                                <w:right w:val="none" w:sz="0" w:space="0" w:color="auto"/>
                              </w:divBdr>
                              <w:divsChild>
                                <w:div w:id="150174935">
                                  <w:marLeft w:val="0"/>
                                  <w:marRight w:val="0"/>
                                  <w:marTop w:val="105"/>
                                  <w:marBottom w:val="0"/>
                                  <w:divBdr>
                                    <w:top w:val="none" w:sz="0" w:space="0" w:color="auto"/>
                                    <w:left w:val="none" w:sz="0" w:space="0" w:color="auto"/>
                                    <w:bottom w:val="none" w:sz="0" w:space="0" w:color="auto"/>
                                    <w:right w:val="none" w:sz="0" w:space="0" w:color="auto"/>
                                  </w:divBdr>
                                  <w:divsChild>
                                    <w:div w:id="1994722635">
                                      <w:marLeft w:val="0"/>
                                      <w:marRight w:val="0"/>
                                      <w:marTop w:val="0"/>
                                      <w:marBottom w:val="0"/>
                                      <w:divBdr>
                                        <w:top w:val="none" w:sz="0" w:space="0" w:color="auto"/>
                                        <w:left w:val="none" w:sz="0" w:space="0" w:color="auto"/>
                                        <w:bottom w:val="none" w:sz="0" w:space="0" w:color="auto"/>
                                        <w:right w:val="none" w:sz="0" w:space="0" w:color="auto"/>
                                      </w:divBdr>
                                      <w:divsChild>
                                        <w:div w:id="1768302905">
                                          <w:marLeft w:val="0"/>
                                          <w:marRight w:val="0"/>
                                          <w:marTop w:val="0"/>
                                          <w:marBottom w:val="0"/>
                                          <w:divBdr>
                                            <w:top w:val="none" w:sz="0" w:space="0" w:color="auto"/>
                                            <w:left w:val="none" w:sz="0" w:space="0" w:color="auto"/>
                                            <w:bottom w:val="none" w:sz="0" w:space="0" w:color="auto"/>
                                            <w:right w:val="none" w:sz="0" w:space="0" w:color="auto"/>
                                          </w:divBdr>
                                          <w:divsChild>
                                            <w:div w:id="430585022">
                                              <w:marLeft w:val="0"/>
                                              <w:marRight w:val="0"/>
                                              <w:marTop w:val="0"/>
                                              <w:marBottom w:val="0"/>
                                              <w:divBdr>
                                                <w:top w:val="none" w:sz="0" w:space="0" w:color="auto"/>
                                                <w:left w:val="none" w:sz="0" w:space="0" w:color="auto"/>
                                                <w:bottom w:val="none" w:sz="0" w:space="0" w:color="auto"/>
                                                <w:right w:val="none" w:sz="0" w:space="0" w:color="auto"/>
                                              </w:divBdr>
                                              <w:divsChild>
                                                <w:div w:id="1207789653">
                                                  <w:marLeft w:val="0"/>
                                                  <w:marRight w:val="0"/>
                                                  <w:marTop w:val="150"/>
                                                  <w:marBottom w:val="150"/>
                                                  <w:divBdr>
                                                    <w:top w:val="none" w:sz="0" w:space="0" w:color="auto"/>
                                                    <w:left w:val="none" w:sz="0" w:space="0" w:color="auto"/>
                                                    <w:bottom w:val="none" w:sz="0" w:space="0" w:color="auto"/>
                                                    <w:right w:val="none" w:sz="0" w:space="0" w:color="auto"/>
                                                  </w:divBdr>
                                                  <w:divsChild>
                                                    <w:div w:id="4481459">
                                                      <w:marLeft w:val="0"/>
                                                      <w:marRight w:val="0"/>
                                                      <w:marTop w:val="0"/>
                                                      <w:marBottom w:val="0"/>
                                                      <w:divBdr>
                                                        <w:top w:val="none" w:sz="0" w:space="0" w:color="auto"/>
                                                        <w:left w:val="none" w:sz="0" w:space="0" w:color="auto"/>
                                                        <w:bottom w:val="none" w:sz="0" w:space="0" w:color="auto"/>
                                                        <w:right w:val="none" w:sz="0" w:space="0" w:color="auto"/>
                                                      </w:divBdr>
                                                      <w:divsChild>
                                                        <w:div w:id="193659494">
                                                          <w:marLeft w:val="300"/>
                                                          <w:marRight w:val="0"/>
                                                          <w:marTop w:val="0"/>
                                                          <w:marBottom w:val="0"/>
                                                          <w:divBdr>
                                                            <w:top w:val="none" w:sz="0" w:space="0" w:color="auto"/>
                                                            <w:left w:val="none" w:sz="0" w:space="0" w:color="auto"/>
                                                            <w:bottom w:val="none" w:sz="0" w:space="0" w:color="auto"/>
                                                            <w:right w:val="none" w:sz="0" w:space="0" w:color="auto"/>
                                                          </w:divBdr>
                                                          <w:divsChild>
                                                            <w:div w:id="1531719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63737497">
                  <w:marLeft w:val="0"/>
                  <w:marRight w:val="0"/>
                  <w:marTop w:val="60"/>
                  <w:marBottom w:val="0"/>
                  <w:divBdr>
                    <w:top w:val="none" w:sz="0" w:space="0" w:color="auto"/>
                    <w:left w:val="none" w:sz="0" w:space="0" w:color="auto"/>
                    <w:bottom w:val="none" w:sz="0" w:space="0" w:color="auto"/>
                    <w:right w:val="none" w:sz="0" w:space="0" w:color="auto"/>
                  </w:divBdr>
                  <w:divsChild>
                    <w:div w:id="597638888">
                      <w:marLeft w:val="0"/>
                      <w:marRight w:val="0"/>
                      <w:marTop w:val="0"/>
                      <w:marBottom w:val="0"/>
                      <w:divBdr>
                        <w:top w:val="none" w:sz="0" w:space="0" w:color="auto"/>
                        <w:left w:val="none" w:sz="0" w:space="0" w:color="auto"/>
                        <w:bottom w:val="none" w:sz="0" w:space="0" w:color="auto"/>
                        <w:right w:val="none" w:sz="0" w:space="0" w:color="auto"/>
                      </w:divBdr>
                      <w:divsChild>
                        <w:div w:id="547374319">
                          <w:marLeft w:val="0"/>
                          <w:marRight w:val="0"/>
                          <w:marTop w:val="0"/>
                          <w:marBottom w:val="0"/>
                          <w:divBdr>
                            <w:top w:val="none" w:sz="0" w:space="0" w:color="auto"/>
                            <w:left w:val="none" w:sz="0" w:space="0" w:color="auto"/>
                            <w:bottom w:val="none" w:sz="0" w:space="0" w:color="auto"/>
                            <w:right w:val="none" w:sz="0" w:space="0" w:color="auto"/>
                          </w:divBdr>
                          <w:divsChild>
                            <w:div w:id="209853042">
                              <w:marLeft w:val="0"/>
                              <w:marRight w:val="0"/>
                              <w:marTop w:val="0"/>
                              <w:marBottom w:val="0"/>
                              <w:divBdr>
                                <w:top w:val="none" w:sz="0" w:space="0" w:color="auto"/>
                                <w:left w:val="none" w:sz="0" w:space="0" w:color="auto"/>
                                <w:bottom w:val="none" w:sz="0" w:space="0" w:color="auto"/>
                                <w:right w:val="none" w:sz="0" w:space="0" w:color="auto"/>
                              </w:divBdr>
                              <w:divsChild>
                                <w:div w:id="895968583">
                                  <w:marLeft w:val="0"/>
                                  <w:marRight w:val="0"/>
                                  <w:marTop w:val="0"/>
                                  <w:marBottom w:val="0"/>
                                  <w:divBdr>
                                    <w:top w:val="none" w:sz="0" w:space="0" w:color="auto"/>
                                    <w:left w:val="none" w:sz="0" w:space="0" w:color="auto"/>
                                    <w:bottom w:val="none" w:sz="0" w:space="0" w:color="auto"/>
                                    <w:right w:val="none" w:sz="0" w:space="0" w:color="auto"/>
                                  </w:divBdr>
                                  <w:divsChild>
                                    <w:div w:id="736241051">
                                      <w:marLeft w:val="0"/>
                                      <w:marRight w:val="0"/>
                                      <w:marTop w:val="0"/>
                                      <w:marBottom w:val="0"/>
                                      <w:divBdr>
                                        <w:top w:val="none" w:sz="0" w:space="0" w:color="auto"/>
                                        <w:left w:val="none" w:sz="0" w:space="0" w:color="auto"/>
                                        <w:bottom w:val="none" w:sz="0" w:space="0" w:color="auto"/>
                                        <w:right w:val="none" w:sz="0" w:space="0" w:color="auto"/>
                                      </w:divBdr>
                                      <w:divsChild>
                                        <w:div w:id="2059939257">
                                          <w:marLeft w:val="0"/>
                                          <w:marRight w:val="0"/>
                                          <w:marTop w:val="0"/>
                                          <w:marBottom w:val="0"/>
                                          <w:divBdr>
                                            <w:top w:val="none" w:sz="0" w:space="0" w:color="auto"/>
                                            <w:left w:val="none" w:sz="0" w:space="0" w:color="auto"/>
                                            <w:bottom w:val="none" w:sz="0" w:space="0" w:color="auto"/>
                                            <w:right w:val="none" w:sz="0" w:space="0" w:color="auto"/>
                                          </w:divBdr>
                                          <w:divsChild>
                                            <w:div w:id="1885946144">
                                              <w:marLeft w:val="0"/>
                                              <w:marRight w:val="0"/>
                                              <w:marTop w:val="0"/>
                                              <w:marBottom w:val="0"/>
                                              <w:divBdr>
                                                <w:top w:val="none" w:sz="0" w:space="0" w:color="auto"/>
                                                <w:left w:val="none" w:sz="0" w:space="0" w:color="auto"/>
                                                <w:bottom w:val="none" w:sz="0" w:space="0" w:color="auto"/>
                                                <w:right w:val="none" w:sz="0" w:space="0" w:color="auto"/>
                                              </w:divBdr>
                                              <w:divsChild>
                                                <w:div w:id="59867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eur-lex.europa.eu/eli/dec/2005/50/oj/?locale=LV" TargetMode="External"/><Relationship Id="rId18" Type="http://schemas.openxmlformats.org/officeDocument/2006/relationships/hyperlink" Target="http://eur-lex.europa.eu/eli/dec/2006/771/oj/?locale=LV" TargetMode="External"/><Relationship Id="rId26" Type="http://schemas.openxmlformats.org/officeDocument/2006/relationships/hyperlink" Target="http://eur-lex.europa.eu/eli/dec/2006/771/oj/?locale=LV" TargetMode="External"/><Relationship Id="rId39" Type="http://schemas.openxmlformats.org/officeDocument/2006/relationships/hyperlink" Target="http://eur-lex.europa.eu/eli/dec/2010/166/oj/?locale=LV" TargetMode="External"/><Relationship Id="rId21" Type="http://schemas.openxmlformats.org/officeDocument/2006/relationships/hyperlink" Target="http://eur-lex.europa.eu/eli/dec/2010/368/oj/?locale=LV" TargetMode="External"/><Relationship Id="rId34" Type="http://schemas.openxmlformats.org/officeDocument/2006/relationships/hyperlink" Target="http://eur-lex.europa.eu/eli/dec/2008/411/oj/?locale=LV" TargetMode="External"/><Relationship Id="rId42" Type="http://schemas.openxmlformats.org/officeDocument/2006/relationships/hyperlink" Target="http://eur-lex.europa.eu/eli/dec/2018/1538/oj/?locale=LV" TargetMode="External"/><Relationship Id="rId47" Type="http://schemas.openxmlformats.org/officeDocument/2006/relationships/footer" Target="footer2.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eur-lex.europa.eu/eli/dec/2008/411/oj/?locale=LV" TargetMode="External"/><Relationship Id="rId29" Type="http://schemas.openxmlformats.org/officeDocument/2006/relationships/hyperlink" Target="http://eur-lex.europa.eu/eli/dec/2008/294/oj/?locale=LV" TargetMode="External"/><Relationship Id="rId11" Type="http://schemas.openxmlformats.org/officeDocument/2006/relationships/endnotes" Target="endnotes.xml"/><Relationship Id="rId24" Type="http://schemas.openxmlformats.org/officeDocument/2006/relationships/hyperlink" Target="http://eur-lex.europa.eu/eli/dec/2005/50/oj/?locale=LV" TargetMode="External"/><Relationship Id="rId32" Type="http://schemas.openxmlformats.org/officeDocument/2006/relationships/hyperlink" Target="http://eur-lex.europa.eu/eli/dec/2005/928/oj/?locale=LV" TargetMode="External"/><Relationship Id="rId37" Type="http://schemas.openxmlformats.org/officeDocument/2006/relationships/hyperlink" Target="http://eur-lex.europa.eu/eli/dec/2008/294/oj/?locale=LV" TargetMode="External"/><Relationship Id="rId40" Type="http://schemas.openxmlformats.org/officeDocument/2006/relationships/hyperlink" Target="http://eur-lex.europa.eu/eli/dec/2017/1483/oj/?locale=LV" TargetMode="External"/><Relationship Id="rId45"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eur-lex.europa.eu/eli/dec/2008/294/oj/?locale=LV" TargetMode="External"/><Relationship Id="rId23" Type="http://schemas.openxmlformats.org/officeDocument/2006/relationships/hyperlink" Target="http://eur-lex.europa.eu/eli/dec/2011/485/oj/?locale=LV" TargetMode="External"/><Relationship Id="rId28" Type="http://schemas.openxmlformats.org/officeDocument/2006/relationships/hyperlink" Target="http://eur-lex.europa.eu/eli/dec/2013/654/oj/?locale=LV" TargetMode="External"/><Relationship Id="rId36" Type="http://schemas.openxmlformats.org/officeDocument/2006/relationships/hyperlink" Target="http://eur-lex.europa.eu/eli/dec_impl/2016/339/oj/?locale=LV" TargetMode="External"/><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eur-lex.europa.eu/eli/dec/626/2008/oj/?locale=LV" TargetMode="External"/><Relationship Id="rId31" Type="http://schemas.openxmlformats.org/officeDocument/2006/relationships/hyperlink" Target="http://eur-lex.europa.eu/eli/dec/2006/771/oj/?locale=LV" TargetMode="External"/><Relationship Id="rId44" Type="http://schemas.openxmlformats.org/officeDocument/2006/relationships/hyperlink" Target="http://eur-lex.europa.eu/eli/dec/2006/771/oj/?locale=LV"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ur-lex.europa.eu/eli/dec/2006/771/oj/?locale=LV" TargetMode="External"/><Relationship Id="rId22" Type="http://schemas.openxmlformats.org/officeDocument/2006/relationships/hyperlink" Target="http://eur-lex.europa.eu/eli/dec/2006/771/oj/?locale=LV" TargetMode="External"/><Relationship Id="rId27" Type="http://schemas.openxmlformats.org/officeDocument/2006/relationships/hyperlink" Target="http://eur-lex.europa.eu/eli/dec/2012/688/oj/?locale=LV" TargetMode="External"/><Relationship Id="rId30" Type="http://schemas.openxmlformats.org/officeDocument/2006/relationships/hyperlink" Target="http://eur-lex.europa.eu/eli/dec/2013/752/oj/?locale=LV" TargetMode="External"/><Relationship Id="rId35" Type="http://schemas.openxmlformats.org/officeDocument/2006/relationships/hyperlink" Target="http://eur-lex.europa.eu/eli/dec/2014/641/oj/?locale=LV" TargetMode="External"/><Relationship Id="rId43" Type="http://schemas.openxmlformats.org/officeDocument/2006/relationships/hyperlink" Target="http://eur-lex.europa.eu/eli/dec/2008/411/oj/?locale=LV" TargetMode="External"/><Relationship Id="rId48"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eur-lex.europa.eu/eli/dec/2004/545/oj/?locale=LV" TargetMode="External"/><Relationship Id="rId17" Type="http://schemas.openxmlformats.org/officeDocument/2006/relationships/hyperlink" Target="http://eur-lex.europa.eu/eli/dec/2008/432/oj/?locale=LV" TargetMode="External"/><Relationship Id="rId25" Type="http://schemas.openxmlformats.org/officeDocument/2006/relationships/hyperlink" Target="http://eur-lex.europa.eu/eli/dec/2011/829/oj/?locale=LV" TargetMode="External"/><Relationship Id="rId33" Type="http://schemas.openxmlformats.org/officeDocument/2006/relationships/hyperlink" Target="http://eur-lex.europa.eu/eli/dec/2014/276/oj/?locale=LV" TargetMode="External"/><Relationship Id="rId38" Type="http://schemas.openxmlformats.org/officeDocument/2006/relationships/hyperlink" Target="http://eur-lex.europa.eu/eli/dec/2013/654/oj/?locale=LV" TargetMode="External"/><Relationship Id="rId46" Type="http://schemas.openxmlformats.org/officeDocument/2006/relationships/footer" Target="footer1.xml"/><Relationship Id="rId20" Type="http://schemas.openxmlformats.org/officeDocument/2006/relationships/hyperlink" Target="http://eur-lex.europa.eu/eli/dec/2010/267/oj/?locale=LV" TargetMode="External"/><Relationship Id="rId41" Type="http://schemas.openxmlformats.org/officeDocument/2006/relationships/hyperlink" Target="http://eur-lex.europa.eu/eli/dec/2005/50/oj/?locale=LV" TargetMode="External"/><Relationship Id="rId1"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s" ma:contentTypeID="0x010100F62256131EA082498DC868E3AF956C40" ma:contentTypeVersion="13" ma:contentTypeDescription="Izveidot jaunu dokumentu." ma:contentTypeScope="" ma:versionID="b6b35e94e386743e7ee0d2abb7c94826">
  <xsd:schema xmlns:xsd="http://www.w3.org/2001/XMLSchema" xmlns:xs="http://www.w3.org/2001/XMLSchema" xmlns:p="http://schemas.microsoft.com/office/2006/metadata/properties" xmlns:ns3="ace8e44c-fa88-44c0-8590-dfda63664a63" xmlns:ns4="122e0e09-afb4-4bf9-abab-ecc4519bc6eb" targetNamespace="http://schemas.microsoft.com/office/2006/metadata/properties" ma:root="true" ma:fieldsID="8f104d917aa921e5ab62138defb26e93" ns3:_="" ns4:_="">
    <xsd:import namespace="ace8e44c-fa88-44c0-8590-dfda63664a63"/>
    <xsd:import namespace="122e0e09-afb4-4bf9-abab-ecc4519bc6e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e8e44c-fa88-44c0-8590-dfda63664a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22e0e09-afb4-4bf9-abab-ecc4519bc6eb" elementFormDefault="qualified">
    <xsd:import namespace="http://schemas.microsoft.com/office/2006/documentManagement/types"/>
    <xsd:import namespace="http://schemas.microsoft.com/office/infopath/2007/PartnerControls"/>
    <xsd:element name="SharedWithUsers" ma:index="17"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Koplietots ar: detalizēti" ma:internalName="SharedWithDetails" ma:readOnly="true">
      <xsd:simpleType>
        <xsd:restriction base="dms:Note">
          <xsd:maxLength value="255"/>
        </xsd:restriction>
      </xsd:simpleType>
    </xsd:element>
    <xsd:element name="SharingHintHash" ma:index="19" nillable="true" ma:displayName="Koplietošanas norādes jaucējkods"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9686C8-3898-49DC-9480-44CBF45BDD81}">
  <ds:schemaRefs>
    <ds:schemaRef ds:uri="http://schemas.microsoft.com/sharepoint/v3/contenttype/forms"/>
  </ds:schemaRefs>
</ds:datastoreItem>
</file>

<file path=customXml/itemProps2.xml><?xml version="1.0" encoding="utf-8"?>
<ds:datastoreItem xmlns:ds="http://schemas.openxmlformats.org/officeDocument/2006/customXml" ds:itemID="{F8537952-7269-47A6-B8B4-9B09612711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e8e44c-fa88-44c0-8590-dfda63664a63"/>
    <ds:schemaRef ds:uri="122e0e09-afb4-4bf9-abab-ecc4519bc6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BD9416-EE73-4FE2-B889-DFEBB19F5B4A}">
  <ds:schemaRefs>
    <ds:schemaRef ds:uri="http://schemas.openxmlformats.org/officeDocument/2006/bibliography"/>
  </ds:schemaRefs>
</ds:datastoreItem>
</file>

<file path=customXml/itemProps4.xml><?xml version="1.0" encoding="utf-8"?>
<ds:datastoreItem xmlns:ds="http://schemas.openxmlformats.org/officeDocument/2006/customXml" ds:itemID="{5748DAB9-D8E5-442B-9DAF-ABA0E03979FD}"/>
</file>

<file path=customXml/itemProps5.xml><?xml version="1.0" encoding="utf-8"?>
<ds:datastoreItem xmlns:ds="http://schemas.openxmlformats.org/officeDocument/2006/customXml" ds:itemID="{697D38F8-BD28-44FA-B8FB-FAE0BADC6C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21498</Words>
  <Characters>12254</Characters>
  <Application>Microsoft Office Word</Application>
  <DocSecurity>0</DocSecurity>
  <Lines>102</Lines>
  <Paragraphs>67</Paragraphs>
  <ScaleCrop>false</ScaleCrop>
  <HeadingPairs>
    <vt:vector size="2" baseType="variant">
      <vt:variant>
        <vt:lpstr>Title</vt:lpstr>
      </vt:variant>
      <vt:variant>
        <vt:i4>1</vt:i4>
      </vt:variant>
    </vt:vector>
  </HeadingPairs>
  <TitlesOfParts>
    <vt:vector size="1" baseType="lpstr">
      <vt:lpstr>NRFP</vt:lpstr>
    </vt:vector>
  </TitlesOfParts>
  <Company>VASES</Company>
  <LinksUpToDate>false</LinksUpToDate>
  <CharactersWithSpaces>33685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NRFP</dc:title>
  <dc:creator>VARAM</dc:creator>
  <cp:lastModifiedBy>Aija Vāvere</cp:lastModifiedBy>
  <cp:revision>5</cp:revision>
  <dcterms:created xsi:type="dcterms:W3CDTF">2024-05-28T09:31:00Z</dcterms:created>
  <dcterms:modified xsi:type="dcterms:W3CDTF">2024-05-29T07:59:00Z</dcterms:modified>
  <cp:category>Pielikums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0x010100F62256131EA082498DC868E3AF956C40</vt:lpwstr>
  </property>
</Properties>
</file>