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179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15. martā (prot. Nr. 11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"Ozolšalkas"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"Ozolšalkas" (nekustamā īpašuma kadastra Nr. 4064 014 0015) daļu – zemes vienību (zemes vienības kadastra apzīmējums 4064 014 0477) 0,34 ha platībā, zemes vienību (zemes vienības kadastra apzīmējums 4064 014 0478) 1,29 ha platībā, zemes vienību (zemes vienības kadastra apzīmējums 4064 014 0479) 0,92 ha platībā un zemes vienību (zemes vienības kadastra apzīmējums 4064 014 0480) 0,34 ha platībā –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24-TA-93</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24-TA-93</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rīkojuma_projekts_24-TA-93.docx</dc:title>
</cp:coreProperties>
</file>

<file path=docProps/custom.xml><?xml version="1.0" encoding="utf-8"?>
<Properties xmlns="http://schemas.openxmlformats.org/officeDocument/2006/custom-properties" xmlns:vt="http://schemas.openxmlformats.org/officeDocument/2006/docPropsVTypes"/>
</file>