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jūlijā (prot. Nr. 39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2026. gada 3. februāra noteikumos Nr. 46 "Eiropas Savienības ārkārtas atbalsta piešķiršanas kārtība nelabvēlīgu klimatisko apstākļu radīto ekonomisko seku mazināšanai augļkopības, dārzeņkopības un sēklaudzēšanas nozarē"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2026. gada 3. februāra noteikumos Nr. 46 "Eiropas Savienības ārkārtas atbalsta piešķiršanas kārtība nelabvēlīgu klimatisko apstākļu radīto ekonomisko seku mazināšanai augļkopības, dārzeņkopības un sēklaudzēšanas nozarē" (Latvijas Vēstnesis, 2026, 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"Eiropas Savienības ārkārtas atbalsta un valsts papildatbalsta piešķiršanas kārtība nelabvēlīgu klimatisko apstākļu radīto ekonomisko seku mazināšanai augļkopības, dārzeņkopības un sēklaudzēšanas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Lauksaimniecības un lauku attīstības likuma 5. panta ceturto un septīto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piešķir, administrē un uzrauga Eiropas Savienības ārkārtas atbalstu un valsts papildatbalstu, lai augļkopības, dārzeņkopības un sēklaudzēšanas nozarē daļēji mazinātu 2025. gada nelabvēlīgo klimatisko apstākļu radītos ekonomiskos zaudējumus (turpmāk –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Atbalstu piešķir saskaņā ar Komisijas 2025. gada 10. oktobra Īstenošanas regulas (ES) 2025/2061, ar ko saskaņā ar Eiropas Parlamenta un Padomes Regulu (ES) Nr. 1308/2013 paredz ārkārtas finansiālo atbalstu nelabvēlīgu klimatisko apstākļu skartām lauksaimniecības nozarēm Bulgārijā, Latvijā, Lietuvā, Ungārijā, Polijā un Rumānijā (turpmāk – regula 2025/2061), 1. panta 3. un 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Ievērojot regulas 2025/2061 1. panta 2. un 9. punktu, Eiropas Savienības ārkārtas atbalsta kopējais apmērs ir 4 200 000 </w:t>
      </w:r>
      <w:r w:rsidR="00000000" w:rsidRPr="00000000" w:rsidDel="00000000">
        <w:rPr>
          <w:i w:val="1"/>
          <w:rtl w:val="0"/>
        </w:rPr>
        <w:t xml:space="preserve">euro</w:t>
      </w:r>
      <w:r w:rsidR="00000000" w:rsidRPr="00000000" w:rsidDel="00000000">
        <w:rPr>
          <w:rtl w:val="0"/>
        </w:rPr>
        <w:t xml:space="preserve"> un valsts papildatbalsta apmērs ir 4 000 000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Atbalsta pretendents apņemas turpināt darbību augkopības nozarē vismaz 12 mēnešus pēc atbalsta saņemšanas. Ja atbalsta pretendents minētajā laikā pārtrauc šo darbību, dienests atgūst izmaksāto atbalstu. Atbalstu neatgūst,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atgūstamā summa par vienu atbalsta iesniegumu nepārsniedz 100</w:t>
      </w:r>
      <w:r w:rsidR="00000000" w:rsidRPr="00000000" w:rsidDel="00000000">
        <w:rPr>
          <w:i w:val="1"/>
          <w:rtl w:val="0"/>
        </w:rPr>
        <w:t xml:space="preserve"> euro</w:t>
      </w:r>
      <w:r w:rsidR="00000000" w:rsidRPr="00000000" w:rsidDel="00000000">
        <w:rPr>
          <w:rtl w:val="0"/>
        </w:rPr>
        <w:t xml:space="preserve"> un šo summu nav iespējams ieturēt no nākamajiem atbalsta maksājumiem atbalsta saņēmējam;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darbība ir pārtraukta nepārvaramas varas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Valsts papildatbalstu nepiešķir atbalsta pretendentam, kurš kārtējā gadā vairs neaudzē kultūraugus attiecīgajā šo noteikumu 1. punktā minētajā nozarē, par kuru piešķirts šajos noteikumos minētais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aprēķina atbalstu un izmaksā to regulas 2025/2061 1. panta 6. un 9. punktā noteiktajā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23.3.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vertAlign w:val="superscript"/>
          <w:rtl w:val="0"/>
        </w:rPr>
        <w:t xml:space="preserve">1</w:t>
      </w:r>
      <w:r w:rsidR="00000000" w:rsidRPr="00000000" w:rsidDel="00000000">
        <w:rPr>
          <w:rtl w:val="0"/>
        </w:rPr>
        <w:t xml:space="preserve"> nodrošina, ka valsts papildatbalsta daļa kopā ar Eiropas Savienības ārkārtas atbalstu nepārsniedz atbalsta pretendenta vidējos ieņēmumus no lauksaimnieciskās darbības references periodā, kas izvēlēts saskaņā ar šo noteikumu 6.2.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26-TA-1621</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26-TA-1621</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noteikumu_(grozījumu)_projekts_26-TA-1621.docx</dc:title>
</cp:coreProperties>
</file>

<file path=docProps/custom.xml><?xml version="1.0" encoding="utf-8"?>
<Properties xmlns="http://schemas.openxmlformats.org/officeDocument/2006/custom-properties" xmlns:vt="http://schemas.openxmlformats.org/officeDocument/2006/docPropsVTypes"/>
</file>