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jūnijā (prot. Nr. 30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(Latvijas Vēstnesis, 2016, 103. nr.; 2017, 229. nr.; 2019, 12. nr.; 2020, 75. nr.; 2021, 129. nr.; 2022, 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Specifiskā atbalsta ietvaros pieejamais kopējais attiecināmais finansējums ir 43 353 207 </w:t>
      </w:r>
      <w:r w:rsidR="00000000" w:rsidRPr="00000000" w:rsidDel="00000000">
        <w:rPr>
          <w:i w:val="1"/>
          <w:rtl w:val="0"/>
        </w:rPr>
        <w:t xml:space="preserve">euro</w:t>
      </w:r>
      <w:r w:rsidR="00000000" w:rsidRPr="00000000" w:rsidDel="00000000">
        <w:rPr>
          <w:rtl w:val="0"/>
        </w:rPr>
        <w:t xml:space="preserve">, tai skaitā Eiropas Sociālā fonda finansējums 36 850 225 </w:t>
      </w:r>
      <w:r w:rsidR="00000000" w:rsidRPr="00000000" w:rsidDel="00000000">
        <w:rPr>
          <w:i w:val="1"/>
          <w:rtl w:val="0"/>
        </w:rPr>
        <w:t xml:space="preserve">euro</w:t>
      </w:r>
      <w:r w:rsidR="00000000" w:rsidRPr="00000000" w:rsidDel="00000000">
        <w:rPr>
          <w:rtl w:val="0"/>
        </w:rPr>
        <w:t xml:space="preserve"> apmērā un valsts budžeta finansējums 6 502 982 </w:t>
      </w:r>
      <w:r w:rsidR="00000000" w:rsidRPr="00000000" w:rsidDel="00000000">
        <w:rPr>
          <w:i w:val="1"/>
          <w:rtl w:val="0"/>
        </w:rPr>
        <w:t xml:space="preserve">euro</w:t>
      </w:r>
      <w:r w:rsidR="00000000" w:rsidRPr="00000000" w:rsidDel="00000000">
        <w:rPr>
          <w:rtl w:val="0"/>
        </w:rPr>
        <w:t xml:space="preserve"> apmērā, no 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9.2.4.1. pasākumam pieejamais kopējais attiecināmais finansējums ir 11 874 444 </w:t>
      </w:r>
      <w:r w:rsidR="00000000" w:rsidRPr="00000000" w:rsidDel="00000000">
        <w:rPr>
          <w:i w:val="1"/>
          <w:rtl w:val="0"/>
        </w:rPr>
        <w:t xml:space="preserve">euro</w:t>
      </w:r>
      <w:r w:rsidR="00000000" w:rsidRPr="00000000" w:rsidDel="00000000">
        <w:rPr>
          <w:rtl w:val="0"/>
        </w:rPr>
        <w:t xml:space="preserve">, tai skaitā Eiropas Sociālā fonda finansējums 10 093 277 </w:t>
      </w:r>
      <w:r w:rsidR="00000000" w:rsidRPr="00000000" w:rsidDel="00000000">
        <w:rPr>
          <w:i w:val="1"/>
          <w:rtl w:val="0"/>
        </w:rPr>
        <w:t xml:space="preserve">euro </w:t>
      </w:r>
      <w:r w:rsidR="00000000" w:rsidRPr="00000000" w:rsidDel="00000000">
        <w:rPr>
          <w:rtl w:val="0"/>
        </w:rPr>
        <w:t xml:space="preserve">apmērā un valsts budžeta finansējums 1 781 167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9.2.4.2. pasākumam pieejamais kopējais attiecināmais finansējums ir 31 478 763 </w:t>
      </w:r>
      <w:r w:rsidR="00000000" w:rsidRPr="00000000" w:rsidDel="00000000">
        <w:rPr>
          <w:i w:val="1"/>
          <w:rtl w:val="0"/>
        </w:rPr>
        <w:t xml:space="preserve">euro</w:t>
      </w:r>
      <w:r w:rsidR="00000000" w:rsidRPr="00000000" w:rsidDel="00000000">
        <w:rPr>
          <w:rtl w:val="0"/>
        </w:rPr>
        <w:t xml:space="preserve">, tai skaitā Eiropas Sociālā fonda finansējums 26 756 948 </w:t>
      </w:r>
      <w:r w:rsidR="00000000" w:rsidRPr="00000000" w:rsidDel="00000000">
        <w:rPr>
          <w:i w:val="1"/>
          <w:rtl w:val="0"/>
        </w:rPr>
        <w:t xml:space="preserve">euro </w:t>
      </w:r>
      <w:r w:rsidR="00000000" w:rsidRPr="00000000" w:rsidDel="00000000">
        <w:rPr>
          <w:rtl w:val="0"/>
        </w:rPr>
        <w:t xml:space="preserve">apmērā un valsts budžeta finansējums 4 721 815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Šo noteikumu 23.</w:t>
      </w:r>
      <w:r w:rsidR="00000000" w:rsidRPr="00000000" w:rsidDel="00000000">
        <w:rPr>
          <w:vertAlign w:val="superscript"/>
          <w:rtl w:val="0"/>
        </w:rPr>
        <w:t xml:space="preserve">1</w:t>
      </w:r>
      <w:r w:rsidR="00000000" w:rsidRPr="00000000" w:rsidDel="00000000">
        <w:rPr>
          <w:rtl w:val="0"/>
        </w:rPr>
        <w:t xml:space="preserve"> punktā minēto darba braucienu un iekšzemes komandējumu izmaksām un šo noteikumu 25.3. un 27.3. apakšpunktā minētajām transporta, tai skaitā specializētā transporta, izmaksām, lai mērķa grupas nokļūtu pasākumu norises vietās, vieglā transportlīdzekļa degvielas izdevumiem, reģionālo starppilsētu un vietējās nozīmes maršrutu sabiedriskā transporta izdevumiem un kompensācijām par darbiniekam piederoša personiskā transportlīdzekļa izmantošanu darba vajadzībām piemēro vadošās iestādes metodiku "Vienas vienības izmaksu standarta likmes aprēķina un piemērošanas metodika 1 km izmaksām darbības programmas "Izaugsme un nodarbinātība" un Eiropas Savienības kohēzijas politikas programmas 2021.–2027. gadam īstenošanai". Minēto vienas vienības izmaksu metodiku nepiemēro piegādēm un pakalpojumiem, kuri iepirkti (noslēgts līgums) saskaņā ar publisko iepirkumu regulējumu."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Šo noteikumu 23.</w:t>
      </w:r>
      <w:r w:rsidR="00000000" w:rsidRPr="00000000" w:rsidDel="00000000">
        <w:rPr>
          <w:vertAlign w:val="superscript"/>
          <w:rtl w:val="0"/>
        </w:rPr>
        <w:t xml:space="preserve">1</w:t>
      </w:r>
      <w:r w:rsidR="00000000" w:rsidRPr="00000000" w:rsidDel="00000000">
        <w:rPr>
          <w:rtl w:val="0"/>
        </w:rPr>
        <w:t xml:space="preserve"> punktā minēto darba braucienu un iekšzemes komandējumu izmaksām, izdevumiem par viesnīcu (naktsmītni) Latvijas teritorijā un dienas naudai par katru iekšzemes komandējuma dienu piemēro vadošās iestādes metodiku "Vienas vienības izmaksu standarta likmes aprēķina un piemērošanas metodika iekšzemes komandējumu izmaksām darbības programmas "Izaugsme un nodarbinātība" un Eiropas Savienības kohēzijas politikas programmas 2021.–2027. gadam īstenošanai". Minēto vienas vienības izmaksu metodiku nepiemēro piegādēm un pakalpojumiem, kuri iepirkti (noslēgts līgums) saskaņā ar publisko iepirkumu jomu regulējošajiem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Šo noteikumu 37.3. apakšpunktā minētajām transporta, tai skaitā specializētā transporta, izmaksām, lai mērķa grupas nokļūtu pasākumu norises vietās, vieglā transportlīdzekļa degvielas izdevumiem, reģionālo starppilsētu un vietējās nozīmes maršrutu sabiedriskā transporta izdevumiem un kompensācijām par darbiniekam piederoša personiskā transportlīdzekļa izmantošanu darba vajadzībām piemēro vadošās iestādes metodiku "Vienas vienības izmaksu standarta likmes aprēķina un piemērošanas metodika 1 km izmaksām darbības programmas "Izaugsme un nodarbinātība" un Eiropas Savienības kohēzijas politikas programmas 2021.–2027. gadam īstenošanai". Minēto vienas vienības izmaksu metodiku nepiemēro piegādēm un pakalpojumiem, kuri iepirkti (noslēgts līgums) saskaņā ar publisko iepirkumu regulējumu."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L. Meņģelsone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23-TA-856</w:t>
    </w:r>
    <w:r>
      <w:br/>
    </w:r>
    <w:r w:rsidR="00000000" w:rsidRPr="00000000" w:rsidDel="00000000">
      <w:rPr>
        <w:rtl w:val="0"/>
      </w:rPr>
      <w:t xml:space="preserve">Izdrukāts 29.07.2026. 21.47 - 1.0.VK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23-TA-856</w:t>
    </w:r>
    <w:r>
      <w:br/>
    </w:r>
    <w:r w:rsidR="00000000" w:rsidRPr="00000000" w:rsidDel="00000000">
      <w:rPr>
        <w:rtl w:val="0"/>
      </w:rPr>
      <w:t xml:space="preserve">Izdrukāts 29.07.2026. 21.47 - 1.0.VK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noteikumu_(grozījumu)_projekts_23-TA-856.docx</dc:title>
</cp:coreProperties>
</file>

<file path=docProps/custom.xml><?xml version="1.0" encoding="utf-8"?>
<Properties xmlns="http://schemas.openxmlformats.org/officeDocument/2006/custom-properties" xmlns:vt="http://schemas.openxmlformats.org/officeDocument/2006/docPropsVTypes"/>
</file>