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Vides trokšņa robežlielumi un to novērtēšana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Rūpniecisko objektu vides trokšņa robežlielumi funkcionālajās zonās ar norādītajiem atļautajiem teritorijas izmantošanas veidiem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5305"/>
        <w:gridCol w:w="3485"/>
        <w:gridCol w:w="3485"/>
        <w:gridCol w:w="3485"/>
        <w:tblGridChange w:id="0">
          <w:tblGrid>
            <w:gridCol w:w="610"/>
            <w:gridCol w:w="5305"/>
            <w:gridCol w:w="3485"/>
            <w:gridCol w:w="3485"/>
            <w:gridCol w:w="34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Apbūves teritorijas izmantošanas funkcija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Trokšņa robežlielumi</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br/>
            </w:r>
            <w:r w:rsidR="00000000" w:rsidRPr="00000000" w:rsidDel="00000000">
              <w:rPr>
                <w:rtl w:val="0"/>
              </w:rPr>
              <w:t xml:space="preserve">(dB(A))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br/>
            </w:r>
            <w:r w:rsidR="00000000" w:rsidRPr="00000000" w:rsidDel="00000000">
              <w:rPr>
                <w:rtl w:val="0"/>
              </w:rPr>
              <w:t xml:space="preserve">(dB(A))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br/>
            </w:r>
            <w:r w:rsidR="00000000" w:rsidRPr="00000000" w:rsidDel="00000000">
              <w:rPr>
                <w:rtl w:val="0"/>
              </w:rPr>
              <w:t xml:space="preserve">(dB(A))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(savrupmāju, mazstāvu vai viensētu) dzīvojamo māju, bērnu iestāžu, ārstniecības, veselības un sociālās aprūpes iestāžu apbūves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 (sabiedrisko un pārvaldes objektu teritorija, tai skaitā kultūras iestāžu, izglītības un zinātnes iestāžu, valsts un pašvaldību pārvaldes iestāžu un viesnīcu teritorija) (ar dzīvojamo apbūvi)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apbūves teritorija, tai skaitā tirdzniecības un pakalpojumu būvju teritorija (ar dzīvojamo apbūvi)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Klusie rajoni apdzīvotās vietās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Teritorijās, kas atrodas tuvāk par 30 m no stacionāriem trokšņa avotiem, vides trokšņa robežlielumi uzskatāmi par mērķlielumiem.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Piezīme. </w:t>
      </w:r>
      <w:r w:rsidR="00000000" w:rsidRPr="00000000" w:rsidDel="00000000">
        <w:rPr>
          <w:vertAlign w:val="superscript"/>
          <w:rtl w:val="0"/>
        </w:rPr>
        <w:t xml:space="preserve">2</w:t>
      </w:r>
      <w:r w:rsidR="00000000" w:rsidRPr="00000000" w:rsidDel="00000000">
        <w:rPr>
          <w:rtl w:val="0"/>
        </w:rPr>
        <w:t xml:space="preserve"> Aizsargjoslās gar autoceļiem (tai skaitā gar autoceļiem, uz kuriem satiksmes intensitāte ir mazāka nekā trīs miljoni transportlīdzekļu gadā) un aizsargjoslās gar dzelzceļiem satiksmes vides trokšņa robežlielumi uzskatāmi par mērķlielumiem.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Satiksmes vides trokšņa robežlielumi</w:t>
      </w:r>
      <w:r w:rsidR="00000000" w:rsidRPr="00000000" w:rsidDel="00000000">
        <w:rPr>
          <w:vertAlign w:val="superscript"/>
          <w:rtl w:val="0"/>
        </w:rPr>
        <w:t xml:space="preserve">1,2</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0"/>
        <w:gridCol w:w="3090"/>
        <w:gridCol w:w="2960"/>
        <w:tblGridChange w:id="0">
          <w:tblGrid>
            <w:gridCol w:w="3140"/>
            <w:gridCol w:w="3090"/>
            <w:gridCol w:w="29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Ldiena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Lvakars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Lnakts (dB(A))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rsidR="00000000" w:rsidRPr="00000000" w:rsidDel="00000000">
        <w:rPr>
          <w:vertAlign w:val="superscript"/>
          <w:rtl w:val="0"/>
        </w:rPr>
        <w:t xml:space="preserve">1</w:t>
      </w:r>
      <w:r w:rsidR="00000000" w:rsidRPr="00000000" w:rsidDel="00000000">
        <w:rPr>
          <w:rtl w:val="0"/>
        </w:rPr>
        <w:t xml:space="preserve">  Izņemot 8.2. apakšpunktā minētajās teritorijās.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Piezīme.</w:t>
      </w:r>
      <w:r w:rsidR="00000000" w:rsidRPr="00000000" w:rsidDel="00000000">
        <w:rPr>
          <w:vertAlign w:val="superscript"/>
          <w:rtl w:val="0"/>
        </w:rPr>
        <w:t xml:space="preserve">2</w:t>
      </w:r>
      <w:r w:rsidR="00000000" w:rsidRPr="00000000" w:rsidDel="00000000">
        <w:rPr>
          <w:rtl w:val="0"/>
        </w:rPr>
        <w:t xml:space="preserve"> Aizsargjoslās gar autoceļiem (tai skaitā gar autoceļiem, uz kuriem satiksmes intensitāte ir mazāka nekā trīs miljoni transportlīdzekļu gadā) un aizsargjoslās gar dzelzceļiem satiksmes vides trokšņa robežlielumi uzskatāmi par mērķlielumiem.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Vides trokšņa robežlielumi ārpus telpām izvietotajām mototrasēm</w:t>
      </w:r>
      <w:r>
        <w:tab/>
      </w:r>
      <w:r>
        <w:br/>
      </w:r>
      <w:r w:rsidR="00000000" w:rsidRPr="00000000" w:rsidDel="00000000">
        <w:rPr>
          <w:b w:val="1"/>
          <w:rtl w:val="0"/>
        </w:rPr>
        <w:t xml:space="preserve">(Atzīts par spēkā neesošu ar Satversmes tiesas 19.12.2017. spriedumu, kas stājas spēkā 21.12.2017.)</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Vides trokšņa robežlielumu novērtēšanas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Vides trokšņa robežlielumu novērtēšanā ievēro Ministru kabineta 2014. gada 7. janvāra noteikumu Nr. 16 "Trokšņa novērtēšanas un pārvaldības kārtība" 1. pielikumā noteikto vides trokšņa rādītāju piemērošanas kārtību un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Vides trokšņa līmeņa atbilstību trokšņa robežlielumiem novērtē teritorijā, kura ietver dzīvojamo apbūvi, kas reģistrēta Nekustamā īpašuma valsts kadastra informācijas sistēmā kā apbūves zeme vai zeme zem dzīvojamo ēku pagalmiem, kā arī 2 m attālumā no fasādes, kura ir visvairāk pakļauta trokšņa iedarbībai.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Novērtējot vides trokšņa robežlielumus, ņem vērā pašvaldības teritorijas plānojumā noteikto galveno (primāro) teritorijas izmantošanas veidu, kas atbilst attiecīgajai šā pielikuma 1. un 2. punktā minētajai apbūves teritorijas izmantošanas funkcijai.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23-TA-1633</w:t>
    </w:r>
    <w:r>
      <w:br/>
    </w:r>
    <w:r w:rsidR="00000000" w:rsidRPr="00000000" w:rsidDel="00000000">
      <w:rPr>
        <w:rtl w:val="0"/>
      </w:rPr>
      <w:t xml:space="preserve">Izdrukāts 29.07.2026. 23.42 - 2.0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noteikumu_konsolidētā_versija_p2_23-TA-1633.docx</dc:title>
</cp:coreProperties>
</file>

<file path=docProps/custom.xml><?xml version="1.0" encoding="utf-8"?>
<Properties xmlns="http://schemas.openxmlformats.org/officeDocument/2006/custom-properties" xmlns:vt="http://schemas.openxmlformats.org/officeDocument/2006/docPropsVTypes"/>
</file>