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2011.gada 15.februāra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Specifiskās drošuma prasības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Fizikālās un mehāniskās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Rotaļlietām un to daļām, kā arī stacionāro rotaļlietu balstiem jābūt mehāniski izturīgiem un stabiliem, lai izturētu lietošanas slodzes nesalūstot vai nedeformējoties un tādējādi neradītu fiziskas traumas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Rotaļlietu šķautnēm, izvirzījumiem, auklām, trosēm un stiprinājumiem jābūt konstruētiem un ražotiem tā, lai pēc iespējas mazinātu risku gūt fiziskas traumas saskarē ar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Rotaļlietām jābūt konstruētām un ražotām tā, lai neradītu nekādu risku vai lai rotaļlietas izmantošanai raksturīgais risks, ko izraisa tās daļu kustība, būtu minimāls.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Rotaļlietas un to daļas nedrīkst radīt nožņaugšanās un nosmakšanas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rotaļlietas un to daļas nedrīkst radīt nosmakšanas risku, nosprostojot gaisa pieplūdi, ko izraisa akūts elpošanas ceļu nosprostojums no ārpuses;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rotaļlietu un to daļu izmēriem jābūt tādiem, lai neradītu nosmakšanas risku, nosprostojot gaisa pieplūdi, ko izraisa iekšējo elpošanas ceļu nosprostošana, objektiem iesprūstot mutē vai rīklē vai virs ieejas apakšējos elpošanas ceļos;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rotaļlietām, kas nepārprotami paredzētas bērniem līdz 36 mēnešu vecumam, kā arī to sastāvdaļām un atdalāmajām daļām jābūt tik lielām, lai tās nevarētu norīt vai ieelpot. Tas attiecas arī uz citām rotaļlietām, kas paredzētas ievietošanai mutē, un šo rotaļlietu sastāvdaļām un atdalāmajām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iepakojums, kurā rotaļlietas nonāk mazumtirdzniecībā, nedrīkst radīt nožņaugšanās vai nosmakšanas risku, ko izraisa elpošanas ceļu (mutes un deguna) nobloķēšana no ārpuses;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pārtikai pievienotajām rotaļlietām vai kopā ar pārtiku piedāvātajām rotaļlietām jābūt iepakotām atsevišķi. Šim iepakojumam (piegādātajā veidā) jābūt tik lielam, lai to nevarētu norīt un (vai) ieelpot;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rotaļlietu iepakojumam, kas minēts šīs nodaļas 4.4. un 4.5. apakšpunktā un kas ir sfērisks, olveida vai elipses veida, kā arī jebkurām daļām, kas noņemamas no tā vai no cilindriskas rotaļlietas iepakojuma ar noapaļotiem galiem, jābūt tādā lielumā, lai nepieļautu elpošanas ceļu bloķēšanu, iesprūstot mutē, rīklē vai virs ieejas apakšējos elpošanas ceļos;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ir aizliegtas rotaļlietas, kas patēriņa brīdī ir tik cieši savienotas ar pārtikas produktu, ka tas vispirms jāapēd, lai piekļūtu rotaļlietai. Rotaļlietu daļām, kuras citā veidā ir tieši piestiprinātas pārtikas produktam, jāatbilst šīs nodaļas 4.2. un 4.3. apakšpunktā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Rotaļlietām lietošanai ūdenī jābūt konstruētām un ražotām tā, lai, ievērojot paredzēto lietojumu, pēc iespējas samazinātu risku, ka rotaļlieta var zaudēt peldspēju un spēju balstīt bērnu.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Rotaļlietām, kurās iespējams iekļūt iekšā un kas tādējādi veido slēgtu telpu, jābūt izejai, pa kuru var izkļūt no tās un ko paredzētais lietotājs var viegli atvērt no iekšpuses.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Rotaļlietās, kas to lietotājiem piešķir mobilitāti, pēc iespējas jābūt iebūvētai bremzēšanas sistēmai, kas piemērota rotaļlietas tipam un ir samērojama ar tās radīto kinētisko enerģiju. Šādai bremzēšanas sistēmai jābūt tādai, ko lietotājs var viegli darbināt, neradot risku nokrist no rotaļlietas vai fiziskas traumas risku lietotājam vai trešajām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Maksimālais projektētais ātrums elektriski darbināmām rotaļlietām, kurām bērni sēž virsū, ir jāierobežo tā, lai iespējami samazinātu savainošanās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Rotaļu šāviņu formai un sastāvam, kā arī to iespējamai kinētiskai enerģijai, kas rodas, tos izšaujot no šādā nolūkā radītas rotaļlietas, jābūt tādiem, lai, ņemot vērā rotaļlietas veidu, neradītu fiziskas traumas risku lietotājam vai trešajām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Rotaļlietām jābūt ražotām tā,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nevienas pieejamas virsmas maksimālā un minimālā temperatūra neizraisītu ievainojumus, ja tai pieskaras;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rotaļlietā esošie šķidrumi un gāzes nesasniegtu tādu temperatūru vai spiedienu, ka to izplūde – ja vien tā nav vajadzīga, lai rotaļlieta pareizi darbotos, – varētu izraisīt apdegumus, applaucējumus vai citas fiziskas traumas.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Rotaļlietas, kas paredzētas skaņas radīšanai, attiecībā uz impulstrokšņu un ilgstošu trokšņu maksimālo pieļaujamo stiprumu konstruē un ražo tā, lai to radītā skaņa nekaitētu bērnu dzirdei.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Aktivitāšu rotaļlietas ražo tā, lai iespējami samazinātu ķermeņa daļu saspiešanas vai iesprūšanas risku vai apģērba iespiešanas risku, kā arī krišanas, trieciena un noslīkšanas risku. Jebkura šādas rotaļlietas virsma, uz kuras var rotaļāties viens vai vairāki bērni, jākonstruē tā, lai izturētu attiecīgo slodzi.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Uzliesmojamība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Materiāliem, no kuriem izgatavota rotaļlieta, jāatbilst vismaz vienai no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materiāls nedeg, nonākot tiešā saskarē ar liesmām, dzirkstelēm vai citu iespējamu uguns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materiāls neuzliesmo ātri (liesmas nodziest, līdzko pazūd uguns izraisītājs);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ja materiāls aizdegas, tas deg lēni un liesmas izplatās lēni;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neatkarīgi no rotaļlietas ķīmiskā sastāva materiāli ir projektēti tā, lai mehāniski palēninātu degšanu.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Šīs nodaļas 1. punktā minētie materiāli nedrīkst radīt aizdegšanās risku citiem rotaļlietā izmantotajiem 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rotaļlietas sastāvā ir ķīmiskās vielas vai maisījumi (īpaši materiāli un aprīkojums, kas paredzēts ķīmijas eksperimentiem, modeļu būvei, veidošanai no plastikas vai keramikas, emaljēšanai, fotografēšanai vai līdzīgām nodarbēm), kas atbilst šo noteikumu </w:t>
      </w:r>
      <w:r w:rsidR="00000000" w:rsidRPr="00000000" w:rsidDel="00000000">
        <w:rPr>
          <w:rtl w:val="0"/>
        </w:rPr>
        <w:t xml:space="preserve">5.</w:t>
      </w:r>
      <w:r w:rsidR="00000000" w:rsidRPr="00000000" w:rsidDel="00000000">
        <w:rPr>
          <w:rtl w:val="0"/>
        </w:rPr>
        <w:t xml:space="preserve"> pielikuma I nodaļā minētajiem klasifikācijas kritērijiem, to koncentrācijas līmenis nedrīkst kaitēt lietotāja veselībai, tie nedrīkst būt ugunsnedroši, kā arī kļūt ugunsnedroši, zaudējot viegli gaistošas nedegošas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Rotaļlietas, izņemot triecienkapseles (pistonus), nedrīkst būt eksplozīvas, tajās nedrīkst būt sprāgstoši elementi un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Rotaļlietās, īpaši ķīmijas spēlēs un ķīmiskās rotaļlietās, nedrīkst izmantot vielas vai maisījumus: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kas var sprāgt, ja tie ir sajaukti kopā vai ja notiek ķīmiska reakcija, vai ja tos karsē;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kas var sprāgt, ja tos sajauc ar oksidētājvielām;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kuros ir gaistošas sastāvdaļas, kas ir ugunsnedrošas gaisā un var veidot ugunsnedrošus vai sprāgstošus tvaikus vai gaisa maisījumus.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Ķīmiskās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Rotaļlietas konstruē un ražo tā, lai nerastos risks cilvēka veselībai, nonākot saskarē ar ķīmiskām vielām vai maisījumiem, no kuriem rotaļlietas ir veidotas vai kurus tās satur, ja rotaļlietas izmanto, kā paredzēts šo noteikumu </w:t>
      </w:r>
      <w:r w:rsidR="00000000" w:rsidRPr="00000000" w:rsidDel="00000000">
        <w:rPr>
          <w:rtl w:val="0"/>
        </w:rPr>
        <w:t xml:space="preserve">8.</w:t>
      </w:r>
      <w:r w:rsidR="00000000" w:rsidRPr="00000000" w:rsidDel="00000000">
        <w:rPr>
          <w:rtl w:val="0"/>
        </w:rPr>
        <w:t xml:space="preserve"> 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Rotaļlietas atbilst attiecīgajiem Eiropas Savienības normatīvajiem aktiem par atsevišķu kategoriju izstrādājumiem vai par atsevišķu vielu un maisījumu lietošanas ierobežojumiem.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Rotaļlietām, kas ir vielas vai maisījumi, attiecīgos gadījumos, ciktāl tas attiecas uz noteiktu vielu un maisījumu klasifikāciju, iepakošanu un marķēšanu, jāatbilst normatīvajiem aktiem, kas nosaka ķīmisko vielu un ķīmisko produktu klasificēšanas, marķēšanas un iepakošanas kārtību, un Eiropas Parlamenta un Padomes 2008. gada 16. decembra Regulai (EK) Nr. 1272/2008 par vielu un maisījumu klasificēšanu, marķēšanu un iepakošanu un ar ko groza un atceļ Direktīvas 67/548/EEK un 1999/45/EK un groza Regulu (EK) Nr. 1907/2006 (turpmāk – regula Nr. 1272/2008).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Papildus šā pielikuma III nodaļas 2. punktā minētajiem ierobežojumiem rotaļlietu daļās vai mikrostrukturāli atšķirīgajās rotaļlietas daļās neizmanto vielas, kas saskaņā ar regulu Nr. 1272/2008 ir klasificētas kā 1A, 1B vai 2. kategorijas kancerogēnas, mutagēnas vai reproduktīvajai sistēmai toksiskas (CMR)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Atkāpjoties no šīs nodaļas 4. punkta, vielas vai maisījumus, kuri klasificēti kā CMR vielas atbilstoši šo noteikumu </w:t>
      </w:r>
      <w:r w:rsidR="00000000" w:rsidRPr="00000000" w:rsidDel="00000000">
        <w:rPr>
          <w:rtl w:val="0"/>
        </w:rPr>
        <w:t xml:space="preserve">5.</w:t>
      </w:r>
      <w:r w:rsidR="00000000" w:rsidRPr="00000000" w:rsidDel="00000000">
        <w:rPr>
          <w:rtl w:val="0"/>
        </w:rPr>
        <w:t xml:space="preserve"> pielikuma III nodaļā minētajām kategorijām, var izmantot rotaļlietās, rotaļlietu daļās vai mikrostrukturāli atšķirīgajās rotaļlietas daļās, ja ir ievērots viens vai vairāki no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šīs vielas un maisījumi ir iekļauti individuālā koncentrācijā, kas vienāda ar attiecīgajām koncentrācijām, kuras noteiktas šo noteikumu </w:t>
      </w:r>
      <w:r w:rsidR="00000000" w:rsidRPr="00000000" w:rsidDel="00000000">
        <w:rPr>
          <w:rtl w:val="0"/>
        </w:rPr>
        <w:t xml:space="preserve">5.</w:t>
      </w:r>
      <w:r w:rsidR="00000000" w:rsidRPr="00000000" w:rsidDel="00000000">
        <w:rPr>
          <w:rtl w:val="0"/>
        </w:rPr>
        <w:t xml:space="preserve"> pielikuma II nodaļā minētajos Eiropas Savienības tiesību aktos par šo vielu saturošo maisījumu klasifikāciju, vai mazāka par 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šīs vielas un maisījumi nekādā to formā nav pieejami bērniem, tostarp nav pieejami ieelpojot, ja rotaļlietu izmanto saskaņā ar šo noteikumu </w:t>
      </w:r>
      <w:r w:rsidR="00000000" w:rsidRPr="00000000" w:rsidDel="00000000">
        <w:rPr>
          <w:rtl w:val="0"/>
        </w:rPr>
        <w:t xml:space="preserve">8.</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ir pieņemts Eiropas Komisijas lēmums atļaut attiecīgās vielas vai maisījuma izmantošanu, kas papildina šajos noteikumos minēto vielu un maisījumu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Atkāpjoties no šīs nodaļas 4. punkta, vielas vai maisījumus, kuri klasificēti kā CMR vielas atbilstoši šo noteikumu </w:t>
      </w:r>
      <w:r w:rsidR="00000000" w:rsidRPr="00000000" w:rsidDel="00000000">
        <w:rPr>
          <w:rtl w:val="0"/>
        </w:rPr>
        <w:t xml:space="preserve">5.</w:t>
      </w:r>
      <w:r w:rsidR="00000000" w:rsidRPr="00000000" w:rsidDel="00000000">
        <w:rPr>
          <w:rtl w:val="0"/>
        </w:rPr>
        <w:t xml:space="preserve"> pielikuma IV nodaļā minētajām kategorijām, var izmantot rotaļlietās, rotaļlietu sastāvdaļās vai mikrostrukturāli atšķirīgās rotaļlietas daļās,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šīs vielas un maisījumi ir iekļauti individuālā koncentrācijā, kas vienāda ar attiecīgajām koncentrācijām, kuras noteiktas šo noteikumu </w:t>
      </w:r>
      <w:r w:rsidR="00000000" w:rsidRPr="00000000" w:rsidDel="00000000">
        <w:rPr>
          <w:rtl w:val="0"/>
        </w:rPr>
        <w:t xml:space="preserve">5.</w:t>
      </w:r>
      <w:r w:rsidR="00000000" w:rsidRPr="00000000" w:rsidDel="00000000">
        <w:rPr>
          <w:rtl w:val="0"/>
        </w:rPr>
        <w:t xml:space="preserve"> pielikuma II nodaļā minētajos Eiropas Savienības tiesību aktos par šo vielu saturošo maisījumu klasifikāciju, vai mazāka par 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šīs vielas un maisījumi nekādā to formā nav pieejami bērniem, tostarp nav pieejami ieelpojot, ja rotaļlietu izmanto saskaņā ar šo noteikumu </w:t>
      </w:r>
      <w:r w:rsidR="00000000" w:rsidRPr="00000000" w:rsidDel="00000000">
        <w:rPr>
          <w:rtl w:val="0"/>
        </w:rPr>
        <w:t xml:space="preserve">8.</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ir pieņemts Eiropas Komisijas lēmums atļaut attiecīgās vielas vai maisījuma izmantošanu, kas papildina šajos noteikumos minētos attiecīgās vielas vai maisījuma atļautos izmantošanas veidus.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Šīs nodaļas 4., 5. un 6. punkts neattiecas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niķeli rotaļlietās un rotaļlietu daļās, kas izgatavotas no nerūsējoša tērauda, un niķeli rotaļlietu daļās, kas paredzētas elektriskās strāvas vadīšanai;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šādām ķīmiskajām vielām, kas izmantotas rotaļlietās, kuras paredzētas bērniem vecumā līdz 36 mēnešiem, vai citās rotaļlietās, kuras paredzētas ievietošanai mutē, ja to saturs attiecīgajos izstrādājumos atbilst norādītajām īpašajām robežvērtībām: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389"/>
        <w:gridCol w:w="1377"/>
        <w:gridCol w:w="3485"/>
        <w:tblGridChange w:id="0">
          <w:tblGrid>
            <w:gridCol w:w="1089"/>
            <w:gridCol w:w="3389"/>
            <w:gridCol w:w="1377"/>
            <w:gridCol w:w="34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Tris(2-hloretil)fosfāts (TCEP)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115-96-8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mg/kg (maksimālais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Tris(2-hlor-1-metiletil)fosfāts (TCPP)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13674-84-5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mg/kg (maksimālais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Tris[2-hlor-1-(hlormetil)etil]fosfāts (TDCP)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13674-87-8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mg/kg (maksimālais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Bisfenols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0,04 mg/l (migrācijas robeža) saskaņā ar standartos LVS EN 71-10:2006 "Organiskie savienojumi. Paraugu sagatavošana un vielu ekstrahēšana no tiem" un LVS EN 71-11:2006 "Organiskie ķīmiskie savienojumi. Analīžu metodes" noteiktajām metodēm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1,2-benzizotiazol-3(2H)-ons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2634-33-5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mg/kg (satura robežvērtība) ūdens bāzes rotaļlietu materiālos saskaņā ar standartos LVS EN 71-10:2006 "Organiskie savienojumi. Paraugu sagatavošana un vielu ekstrahēšana no tiem" un LVS EN 71-11:2006 "Organiskie ķīmiskie savienojumi. Analīžu metodes" noteiktajām metodēm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μg/m</w:t>
            </w:r>
            <w:r w:rsidR="00000000" w:rsidRPr="00000000" w:rsidDel="00000000">
              <w:rPr>
                <w:vertAlign w:val="superscript"/>
                <w:rtl w:val="0"/>
              </w:rPr>
              <w:t xml:space="preserve">3</w:t>
            </w:r>
            <w:r w:rsidR="00000000" w:rsidRPr="00000000" w:rsidDel="00000000">
              <w:rPr>
                <w:rtl w:val="0"/>
              </w:rPr>
              <w:t xml:space="preserve"> (emisijas robežvērtība) ne vairāk kā 28 dienas pēc tādu rotaļlietās izmantoto putu materiālu emisijas testa sākšanas, kuru sastāvā ir vairāk nekā 200 mg/kg formamīda (satura sliekšņvērtība)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Reakcijas masa, kas satur 5-hlor-2-metil-4-izotiazolīn-3-onu (EK Nr. 247-500-7) un 2-metil-2H-izotiazol-3-onu (EK Nr. 220-239-6) (3:1)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55965-84-9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mg/kg (satura robežvērtība) ūdens bāzes rotaļlietu materiālos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5-hlor-2-metil-izotiazolīn-3(2H)-ons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26172-55-4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0,75 mg/kg (satura robežvērtība) ūdens bāzes rotaļlietu materiālos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2-metilizotiazolīn-3(2H)-ons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2682-20-4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0,25 mg/kg (satura robežvērtība) ūdens bāzes rotaļlietu materiālos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Fenols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108-95-2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mg/l (migrācijas robežvērtība) polimēru materiālos saskaņā ar standartos LVS EN 71-10:2006 "Organiskie savienojumi. Paraugu sagatavošana un vielu ekstrahēšana no tiem" un LVS EN 71-11:2006 "Organiskie ķīmiskie savienojumi. Analīžu metodes" noteiktajām metodēm.</w:t>
            </w:r>
            <w:r>
              <w:br/>
            </w:r>
            <w:r w:rsidR="00000000" w:rsidRPr="00000000" w:rsidDel="00000000">
              <w:rPr>
                <w:rtl w:val="0"/>
              </w:rPr>
              <w:t xml:space="preserve">10 mg/kg (satura robežvērtība) kā konservantam saskaņā ar standartos LVS EN 71-10:2006 "Organiskie savienojumi. Paraugu sagatavošana un vielu ekstrahēšana no tiem" un LVS EN 71-11:2006 "Organiskie ķīmiskie savienojumi. Analīžu metodes" noteiktajām metodēm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Formaldehīds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mg/l (migrācijas robežvērtība) polimēru rotaļlietu materiālā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 ml/m</w:t>
            </w:r>
            <w:r w:rsidR="00000000" w:rsidRPr="00000000" w:rsidDel="00000000">
              <w:rPr>
                <w:vertAlign w:val="superscript"/>
                <w:rtl w:val="0"/>
              </w:rPr>
              <w:t xml:space="preserve">3</w:t>
            </w:r>
            <w:r w:rsidR="00000000" w:rsidRPr="00000000" w:rsidDel="00000000">
              <w:rPr>
                <w:rtl w:val="0"/>
              </w:rPr>
              <w:t xml:space="preserve"> (emisijas robežvērtība) ar sveķiem savienotas koksnes rotaļlietu materiālā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mg/kg (satura robežvērtība) tekstila rotaļlietu materiālā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mg/kg (satura robežvērtība) ādas rotaļlietu materiālā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mg/kg (satura robežvērtība) papīra rotaļlietu materiālā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mg/kg (satura robežvērtība) ūdens bāzes rotaļlietu materiālā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materiāliem, kuri saskaņā ar Eiropas Komisijas lēmumu atbilst noteiktajām īpašajām robežvērtībām ķīmiskajām vielām, kas izmantotas rotaļlietās, kuras paredzētas bērniem vecumā līdz 36 mēnešiem, vai – līdz attiecīgu noteikumu pieņemšanas brīdim, bet ne vēlāk kā līdz 2017. gada 20. jūlijam – uz materiāliem, uz kuriem attiecas un kuri atbilst prasībām, kas noteiktas saskarē ar pārtikas produktiem nonākošiem materiāliem, kā paredzēts Eiropas Parlamenta un Padomes 2004. gada 27. oktobra Regulā (EK) Nr. 1935/2004 par materiāliem un izstrādājumiem, kas paredzēti saskarei ar pārtikas produktiem, un par Direktīvu 80/590/EEK un 89/109/EEK atcelšanu, un saistītajos īpašajos pasākumos attiecībā uz konkrētiem 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Neierobežojot šīs nodaļas 4. un 5. punkta piemērošanu, nitrozamīnus un vielas, kas viegli nitrozējas, ir aizliegts izmantot rotaļlietās, kuras paredzētas bērniem vecumā līdz 36 mēnešiem, vai citās rotaļlietās, kuras paredzētas ievietošanai mutē, ja vielu migrācija ir 0,05 mg/kg vai lielāka nitrozamīniem un 1 mg/kg vielām, kas viegli nitrozējas.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Kosmētikas rotaļlietas, piemēram, rotaļu kosmētika lellēm, atbilst prasībām, kas attiecībā uz sastāvu un marķēšanu noteiktas normatīvajos aktos par būtiskajām prasībām kosmētikas līdzekļiem un to uzraudzības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Rotaļlietas nesatur šādas alergēnas smaržvielas: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6359"/>
        <w:gridCol w:w="2143"/>
        <w:tblGridChange w:id="0">
          <w:tblGrid>
            <w:gridCol w:w="898"/>
            <w:gridCol w:w="6359"/>
            <w:gridCol w:w="2143"/>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Alergēnās smaržvielas nosaukums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Ālantes saknes (Inula helenium) 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97676-35-2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Alilizotiocianāts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57-06-7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Benzilcianīds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140-29-4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4-terc-butilfenols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98-54-4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Balandas 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8006-99-3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Ciklamenu spirts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4756-19-8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Dietilmaleāts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Dihidrokumarīns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119-84-6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2,4-dihidroksi-3-metilbenzaldehīds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6248-20-0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3,7-dimetil-2-oktēn-1-ols (6,7-dihidrogeraniols)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40607-48-5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4,6-dimetil-8-terc-butilkumarīns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17874-34-9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Dimetilcitrakonāts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617-54-9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7,11-dimetil-4,6,10-dodekatriēn-3-ons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26651-96-7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6,10-dimetil-3,5,9-undekatriēn-2-ons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Difenilamīns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122-39-4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Etilakrilāts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140-88-5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Vīģes lapas, svaigas un preparātos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68916-52-9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Trans-2-heptenāls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18829-55-5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Trans-2-heksenāldietilacetāls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67746-30-9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Trans-2-heksenāldimetilacetāls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18318-83-7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Hidroabietilspirts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13393-93-6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4-etoksifenols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622-62-8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6-izopropil-2-dekahidronaftalinols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34131-99-2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7-metoksikumarīns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531-59-9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4-metoksifenols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150-76-5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4-(p-metoksifenil)-3-butēn-2-ons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943-88-4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1-(p-metoksifenil)-1-pentēn-3-ons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104-27-8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Metil-trans-2-butenoāts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623-43-8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6-metilkumarīns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92-48-8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7-metilkumarīns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2445-83-2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5-metil-2,3-heksāndions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13706-86-0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Kurvjziežu dzimtas augu sakņu eļļa (Saussurea lappa Clarke)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8023-88-9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7-etoksi-4-metilkumarīns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87-05-8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Heksahidrokumarīns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700-82-3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Peru balzams, jēlprodukts (Myroxylonpereirae (Royle) Klotzsch izvilkums)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8007-00-9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2-pentilidīn-cikloheksanons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25677-40-1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3,6,10-trimetil-3,5,9-undekatriēn-2-ons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1117-41-5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Verbēnas eļļa (Lippia citriodora Kunth)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8024-12-2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Ambras muskuss (4-terc-butil-3-metoksi-2,6-dinitrotoluols)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83-66-9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4-fenil-3-butēn-2-ons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122-57-6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Amilkanēļskābes aldehīds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122-40-7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Amilkanēļspirts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101-85-9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Benzilspirts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100-51-6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Benzilsalicilāts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118-58-1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Kanēļspirts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104-54-1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Kanēļskābes aldehīds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104-55-2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Citrāls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5392-40-5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Kumarīns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91-64-5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Eigenols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97-53-0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Geraniols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106-24-1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Hidroksicitronelāls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107-75-5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Hidroksimetilpentilcikloheksēnkarboksaldehīds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31906-04-4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Izoeigenols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97-54-1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Ozola sūnu ekstrakts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90028-68-5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sūnu ekstrakts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90028-67-4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Atranols (2,6-dihidroksi-4-metilbenzaldehīds)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526-37-4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Hloratranols (3-hlor-2,6-dihidroksi-4-metilbenzaldehīds)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57074-21-2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Metilheptīna karbonāts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111-12-6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Šīs nodaļas 10. punktā minēto smaržvielu atlikumi ir atļauti, ja tehniski nav iespējams izvairīties no šādiem atlikumiem, ievērojot labu ražošanas praksi, un ja to daudzums nepārsniedz 100 mg/kg.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Uz rotaļlietas, tai piestiprinātajā etiķetē, uz iepakojuma vai rotaļlietai pievienotajā instrukcijā jānorāda šādu alergēnu smaržvielu nosaukumi, ja tās ir pievienotas koncentrācijā, kas rotaļlietā vai tās sastāvdaļās pārsniedz 100 mg/kg:</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6263"/>
        <w:gridCol w:w="2239"/>
        <w:tblGridChange w:id="0">
          <w:tblGrid>
            <w:gridCol w:w="898"/>
            <w:gridCol w:w="6263"/>
            <w:gridCol w:w="2239"/>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Alergēnās smaržvielas nosaukums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Anizilspirts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Benzilbenzoāts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120-51-4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Benzilcinamāts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Citronelols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106-22-9; 1117-61-9; 7540-51-4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Farnezols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4602-84-0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Heksilkanēļskābes aldehīds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101-86-0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Liliāls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80-54-6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d-limonēns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5989-27-5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Linalols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78-70-6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3-metil-4-(2,6,6-trimetil-2-cikloheksēn-1-il)-3-butēn-2-ons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127-51-5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Acetilcedrēns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32388-55-9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Amilsalicilāts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2050-08-0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Transanetols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4180-23-8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Benzaldehīds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100-52-7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Kampars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76-22-2; 464-49-3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Karvons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99-49-0; 6485-40-1; 2244-16-8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Beta-kariofilēns (ox.)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87-44-5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Rožu ketons-4 (damaskenons)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23696-85-7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Alfa-damaskons (TMCHB)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43052-87-5; 23726-94-5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Cis-beta-damaskons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23726-92-3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Delta-damaskons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57378-68-4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Dmetilbenzilkarbinilacetāts (DMBCA)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151-05-3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Heksadekanolaktons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109-29-5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Heksametilindanopirāns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1222-05-5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(DL)-limonēns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138-86-3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Linalilacetāts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115-95-7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Mentols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1490-04-6; 89-78-1; 2216-51-5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Metilsalicilāts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119-36-8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3-metil-5-(2,2,3-trimetil-3-ciklopentēn-1-il)pent-4-ēn-2-ols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67801-20-1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Alfa-pinēns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80-56-8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Beta-pinēns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127-91-3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Propilidēnftalīds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17369-59-4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Salicilaldehīds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Alfa-santalols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115-71-9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Beta-santalols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77-42-9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Sklareols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515-03-7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Alfa-terpineols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10482-56-1; 98-55-5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Terpineols (izomēru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8000-41-7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Terpinolēns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586-62-9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Tetrametilacetiloktahidronaftalīni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54464-57-2; 54464-59-4; 68155-66-8; 68155-67-9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Trimetilbenzolpropanols (majantols)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103694-68-4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Vanilīns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Cananga odorata </w:t>
            </w:r>
            <w:r w:rsidR="00000000" w:rsidRPr="00000000" w:rsidDel="00000000">
              <w:rPr>
                <w:rtl w:val="0"/>
              </w:rPr>
              <w:t xml:space="preserve">un ilangilangu 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83863-30-3; 8006-81-3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Cedrus atlantica</w:t>
            </w:r>
            <w:r w:rsidR="00000000" w:rsidRPr="00000000" w:rsidDel="00000000">
              <w:rPr>
                <w:rtl w:val="0"/>
              </w:rPr>
              <w:t xml:space="preserve"> mizas 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92201-55-3; 8000-27-9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Cinnamomum cassia</w:t>
            </w:r>
            <w:r w:rsidR="00000000" w:rsidRPr="00000000" w:rsidDel="00000000">
              <w:rPr>
                <w:rtl w:val="0"/>
              </w:rPr>
              <w:t xml:space="preserve"> lapu 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8007-80-5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Cinnamomum zeylanicum</w:t>
            </w:r>
            <w:r w:rsidR="00000000" w:rsidRPr="00000000" w:rsidDel="00000000">
              <w:rPr>
                <w:rtl w:val="0"/>
              </w:rPr>
              <w:t xml:space="preserve"> mizas 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84649-98-9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Citrus aurantium amara</w:t>
            </w:r>
            <w:r w:rsidR="00000000" w:rsidRPr="00000000" w:rsidDel="00000000">
              <w:rPr>
                <w:rtl w:val="0"/>
              </w:rPr>
              <w:t xml:space="preserve"> ziedu 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8016-38-4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Citrus aurantium amara</w:t>
            </w:r>
            <w:r w:rsidR="00000000" w:rsidRPr="00000000" w:rsidDel="00000000">
              <w:rPr>
                <w:rtl w:val="0"/>
              </w:rPr>
              <w:t xml:space="preserve"> mizas 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72968-50-4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 kas izspiesta no </w:t>
            </w:r>
            <w:r w:rsidR="00000000" w:rsidRPr="00000000" w:rsidDel="00000000">
              <w:rPr>
                <w:i w:val="1"/>
                <w:rtl w:val="0"/>
              </w:rPr>
              <w:t xml:space="preserve">Citrus bergamia</w:t>
            </w:r>
            <w:r w:rsidR="00000000" w:rsidRPr="00000000" w:rsidDel="00000000">
              <w:rPr>
                <w:rtl w:val="0"/>
              </w:rPr>
              <w:t xml:space="preserve"> mizas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89957-91-5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 kas izspiesta no </w:t>
            </w:r>
            <w:r w:rsidR="00000000" w:rsidRPr="00000000" w:rsidDel="00000000">
              <w:rPr>
                <w:i w:val="1"/>
                <w:rtl w:val="0"/>
              </w:rPr>
              <w:t xml:space="preserve">Citrus limonum</w:t>
            </w:r>
            <w:r w:rsidR="00000000" w:rsidRPr="00000000" w:rsidDel="00000000">
              <w:rPr>
                <w:rtl w:val="0"/>
              </w:rPr>
              <w:t xml:space="preserve"> mizas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84929-31-7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Citrusu sinensis</w:t>
            </w:r>
            <w:r w:rsidR="00000000" w:rsidRPr="00000000" w:rsidDel="00000000">
              <w:rPr>
                <w:rtl w:val="0"/>
              </w:rPr>
              <w:t xml:space="preserve"> (syn.: eļļa, kas izspiesta no </w:t>
            </w:r>
            <w:r w:rsidR="00000000" w:rsidRPr="00000000" w:rsidDel="00000000">
              <w:rPr>
                <w:i w:val="1"/>
                <w:rtl w:val="0"/>
              </w:rPr>
              <w:t xml:space="preserve">Aurantium dulcis</w:t>
            </w:r>
            <w:r w:rsidR="00000000" w:rsidRPr="00000000" w:rsidDel="00000000">
              <w:rPr>
                <w:rtl w:val="0"/>
              </w:rPr>
              <w:t xml:space="preserve">) mizas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97766-30-8; 8028-48-6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Cymbopogon citratus/schoenanthus </w:t>
            </w:r>
            <w:r w:rsidR="00000000" w:rsidRPr="00000000" w:rsidDel="00000000">
              <w:rPr>
                <w:rtl w:val="0"/>
              </w:rPr>
              <w:t xml:space="preserve">eļļas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89998-14-1; 8007-02-01; 89998-16-3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Eikaliptu (</w:t>
            </w:r>
            <w:r w:rsidR="00000000" w:rsidRPr="00000000" w:rsidDel="00000000">
              <w:rPr>
                <w:i w:val="1"/>
                <w:rtl w:val="0"/>
              </w:rPr>
              <w:t xml:space="preserve">Eucalyptus</w:t>
            </w:r>
            <w:r w:rsidR="00000000" w:rsidRPr="00000000" w:rsidDel="00000000">
              <w:rPr>
                <w:rtl w:val="0"/>
              </w:rPr>
              <w:t xml:space="preserve"> spp.) lapu 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92502-70-0; 8000-48-4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Eugenia caryophyllus</w:t>
            </w:r>
            <w:r w:rsidR="00000000" w:rsidRPr="00000000" w:rsidDel="00000000">
              <w:rPr>
                <w:rtl w:val="0"/>
              </w:rPr>
              <w:t xml:space="preserve"> lapu/ziedu 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8000-34-8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Jasminum grandiflorum/officinale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84776-64-7; 90045-94-6; 8022-96-6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Juniperus virginiana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8000-27-9; 85085-41-2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Laurus nobilis</w:t>
            </w:r>
            <w:r w:rsidR="00000000" w:rsidRPr="00000000" w:rsidDel="00000000">
              <w:rPr>
                <w:rtl w:val="0"/>
              </w:rPr>
              <w:t xml:space="preserve"> augļu 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8007-48-5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Laurus nobilis</w:t>
            </w:r>
            <w:r w:rsidR="00000000" w:rsidRPr="00000000" w:rsidDel="00000000">
              <w:rPr>
                <w:rtl w:val="0"/>
              </w:rPr>
              <w:t xml:space="preserve"> lapu 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8002-41-3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Laurus nobilis</w:t>
            </w:r>
            <w:r w:rsidR="00000000" w:rsidRPr="00000000" w:rsidDel="00000000">
              <w:rPr>
                <w:rtl w:val="0"/>
              </w:rPr>
              <w:t xml:space="preserve"> sēklu 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84603-73-6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Lavandula hybrida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91722-69-9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Lavandula officinalis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84776-65-8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Mentha piperita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8006-90-4; 84082-70-2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Mentha spicata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84696-51-5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Narcissus </w:t>
            </w:r>
            <w:r w:rsidR="00000000" w:rsidRPr="00000000" w:rsidDel="00000000">
              <w:rPr>
                <w:rtl w:val="0"/>
              </w:rPr>
              <w:t xml:space="preserve">spp.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dažādi, tostarp 90064-25-8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Pelargonium graveolens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90082-51-2; 8000-46-2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Pinus mugo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90082-72-7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Pinus pumila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97676-05-6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Pogostemon cablin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8014-09-3; 84238-39-1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Rožu ziedu eļļa (</w:t>
            </w:r>
            <w:r w:rsidR="00000000" w:rsidRPr="00000000" w:rsidDel="00000000">
              <w:rPr>
                <w:i w:val="1"/>
                <w:rtl w:val="0"/>
              </w:rPr>
              <w:t xml:space="preserve">Rosa </w:t>
            </w:r>
            <w:r w:rsidR="00000000" w:rsidRPr="00000000" w:rsidDel="00000000">
              <w:rPr>
                <w:rtl w:val="0"/>
              </w:rPr>
              <w:t xml:space="preserve">spp.)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dažādi, tostarp 8007-01-0, 93334-48-6, 84696-47-9, 84604-12-6, 90106-38-0, 84604-13-7, 92347-25-6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Santalum albums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84787-70-2; 8006-87-9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Terpentīneļļa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8006-64-2; 9005-90-7; 8052-14-0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Smaržvielas, kas minētas šīs nodaļas 10. punkta saraksta 41.–55. punktā un 12. punkta saraksta 1.–11. punktā, ir atļauts izmantot ožas trenēšanas spēlēs, kosmētikas komplektos un degustācijas spēlēs ar nosacījumu,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minētās smaržvielas ir skaidri norādītas uz iepakojuma, uz kura ir brīdinājuma uzraksts atbilstoši šo noteikumu </w:t>
      </w:r>
      <w:r w:rsidR="00000000" w:rsidRPr="00000000" w:rsidDel="00000000">
        <w:rPr>
          <w:rtl w:val="0"/>
        </w:rPr>
        <w:t xml:space="preserve">4.</w:t>
      </w:r>
      <w:r w:rsidR="00000000" w:rsidRPr="00000000" w:rsidDel="00000000">
        <w:rPr>
          <w:rtl w:val="0"/>
        </w:rPr>
        <w:t xml:space="preserve"> pielikuma X nodaļai;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produkti, ko bērns izgatavojis saskaņā ar pamācību, atbilst normatīvajiem aktiem par būtiskajām prasībām kosmētikas līdzekļiem un to uzraudzības kārtību (ja tie ir piemērojami);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minētās smaržvielas atbilst attiecīgajiem tiesību aktiem pārtikas jomā (ja tie ir piemērojami).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Ožas trenēšanas spēles, kosmētikas komplektus un degustācijas spēles aizliegts izmantot bērniem līdz 36 mēnešu vecumam, un tām jāatbilst šo noteikumu </w:t>
      </w:r>
      <w:r w:rsidR="00000000" w:rsidRPr="00000000" w:rsidDel="00000000">
        <w:rPr>
          <w:rtl w:val="0"/>
        </w:rPr>
        <w:t xml:space="preserve">4.</w:t>
      </w:r>
      <w:r w:rsidR="00000000" w:rsidRPr="00000000" w:rsidDel="00000000">
        <w:rPr>
          <w:rtl w:val="0"/>
        </w:rPr>
        <w:t xml:space="preserve"> pielikuma I nodaļai.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Papildus šīs nodaļas 4., 5. un 6. punktā minētajām prasībām tiek noteikts, ka migrācijas robežvērtības atsevišķām ķīmiskām vielām vai to sastāvdaļām, kas izmantotas rotaļlietās, nepārsniedz šādus lielumus: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047"/>
        <w:gridCol w:w="2047"/>
        <w:gridCol w:w="2239"/>
        <w:gridCol w:w="2335"/>
        <w:tblGridChange w:id="0">
          <w:tblGrid>
            <w:gridCol w:w="706"/>
            <w:gridCol w:w="2047"/>
            <w:gridCol w:w="2047"/>
            <w:gridCol w:w="2239"/>
            <w:gridCol w:w="2335"/>
          </w:tblGrid>
        </w:tblGridChange>
      </w:tblGrid>
      <w:tr>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 k.</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Elements</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mg/kg sausā, trauslā, pulverveida vai lokanā rotaļlietas materiālā</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mg/kg šķidrā vai lipīgā rotaļlietas materiālā</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mg/kg rotaļlietas materiāla nokasījumā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Antimons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Arsēns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Bārijs saskaņā ar Komisijas 2013. gada 17. jūlija Regulu (ES) Nr. 681/2013, ar ko groza II pielikuma III daļu Eiropas Parlamenta un Padomes Direktīvai 2009/48/EK par rotaļlietu drošumu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18750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Hroms (III)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Hroms (VI)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Niķelis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Selēns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Stroncijs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 alva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Šīs nodaļas 15. punktā minētās robežvērtības neattiecas uz rotaļlietām vai rotaļlietu sastāvdaļām, kuras atbilstoši šo noteikumu </w:t>
      </w:r>
      <w:r w:rsidR="00000000" w:rsidRPr="00000000" w:rsidDel="00000000">
        <w:rPr>
          <w:rtl w:val="0"/>
        </w:rPr>
        <w:t xml:space="preserve">8.</w:t>
      </w:r>
      <w:r w:rsidR="00000000" w:rsidRPr="00000000" w:rsidDel="00000000">
        <w:rPr>
          <w:rtl w:val="0"/>
        </w:rPr>
        <w:t xml:space="preserve"> punktam to pieejamības, funkcijas, apjoma vai svara dēļ lietošanas laikā nerada apdraudējumu, kas rodas, tās sūkājot, laizot, norijot vai tām atrodoties ilgstošā kontaktā ar ādu.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 Elektriskās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Rotaļlietas nedrīkst darbināt ar līdzstrāvas vai līdzvērtīgas maiņstrāvas elektroenerģiju, kuras nominālais spriegums pārsniedz 24 voltus. Nevienā rotaļlietas daļā spriegums nedrīkst pārsniegt līdzstrāvas vai līdzvērtīgas maiņstrāvas 24 voltus, ja vien nav nodrošināts, ka sprieguma un elektroenerģijas stipruma kombinācija nerada risku vai kaitīgas iedarbības elektrošoku, pat ja rotaļlieta ir bojāta.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Rotaļlietas daļām, kas ir savienotas vai var saskarties ar elektriskās strāvas triecienu radošu elektroenenerģijas avotu, kopā ar vadiem vai citiem elektrības vadītājiem, pa kuriem šīm daļām pievada elektrību, jābūt labi izolētām un mehāniski norobežotām, lai novērstu elektrošoka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Elektriskām rotaļlietām jābūt konstruētām un ražotām tā, lai nevienas atklātās virsmas maksimālā temperatūra neradītu apdegumus, tai pieskaroties.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Paredzamu bojājumu apstākļos rotaļlietām jānodrošina aizsardzība pret elektriska rakstura apdraudējumiem, ko izraisa elektroenerģijas avots.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Elektriskām rotaļlietām jānodrošina pienācīga aizsardzība pret uguns apdraudējumiem.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Elektriskām rotaļlietām jābūt konstruētām un ražotām tā, lai elektriskais, magnētiskais un elektromagnētiskais lauks un cita veida aprīkojuma radīts starojums tiktu ierobežots līdz rotaļlietas darbībai vajadzīgajai pakāpei, un rotaļlietas darbināšanai jānotiek droši atbilstoši vispāratzītam tehnikas līmenim, ņemot vērā īpašus Eiropas Savienības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Rotaļlietām, kurām ir elektriska vadības sistēma, jābūt konstruētām un ražotām tā, lai tās varētu droši darbināt, ja elektroniskajā sistēmā rodas traucējumi un tā nedarbojas sistēmas pašas problēmu dēļ vai ārēja faktora ietekmes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Rotaļlietām jābūt konstruētām un ražotām tā, lai tās neradītu draudus veselībai vai risku ievainot acis vai ādu, izmantojot lāzerus, gaismas diodes vai citus starojuma veidus.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Rotaļlietu elektriskais transformators nav rotaļlietas neatņemama sastāvdaļa.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 Higiēna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Rotaļlietai jābūt konstruētai un ražotai tā, lai tā atbilstu higiēnas un sanitārajām prasībām, tā nedrīkst izraisīt infekcijas, slimības vai saindēšanās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Rotaļlietām, kas paredzētas bērniem līdz 36 mēnešu vecumam, jābūt konstruētām un ražotām tā, lai tās varētu tīrīt. Tekstilrotaļlietām jābūt mazgājamām, izņemot gadījumus, ja tās satur mehānismus, kurus var sabojāt to samērcēšana. Rotaļlieta atbilst drošuma prasībām arī pēc tās tīrīšanas, kas veikta saskaņā ar šo punktu un ražotāja pamācību.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 Radioaktivitāte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Rotaļlietas atbilst normatīvo aktu prasībām par aizsardzību pret jonizējošo starojumu.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22-TA-1830</w:t>
    </w:r>
    <w:r>
      <w:br/>
    </w:r>
    <w:r w:rsidR="00000000" w:rsidRPr="00000000" w:rsidDel="00000000">
      <w:rPr>
        <w:rtl w:val="0"/>
      </w:rPr>
      <w:t xml:space="preserve">Izdrukāts 29.07.2026. 23.08 - 1.0.VK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22-TA-1830</w:t>
    </w:r>
    <w:r>
      <w:br/>
    </w:r>
    <w:r w:rsidR="00000000" w:rsidRPr="00000000" w:rsidDel="00000000">
      <w:rPr>
        <w:rtl w:val="0"/>
      </w:rPr>
      <w:t xml:space="preserve">Izdrukāts 29.07.2026. 23.08 - 1.0.VK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noteikumu_konsolidētā_versija_p2_22-TA-1830.docx</dc:title>
</cp:coreProperties>
</file>

<file path=docProps/custom.xml><?xml version="1.0" encoding="utf-8"?>
<Properties xmlns="http://schemas.openxmlformats.org/officeDocument/2006/custom-properties" xmlns:vt="http://schemas.openxmlformats.org/officeDocument/2006/docPropsVTypes"/>
</file>