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 (Latvijas Vēstnesis, 2022, 228. nr.; 2023, 78.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budžeta finansējums pievienotās vērtības nodokļa izmaksu segšanai tiek plānots ne vairāk kā 58 818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tematiskajam virzienam "Sabiedrības vismazāk aizsargāto grupu interešu pārstāvniecība sociālās drošības jomā" – ne vairāk kā 40 500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tematiskajam virzienam "Sabiedrības interešu uzraudzība attiecībā uz ārvalstu investīciju un valsts budžeta finansējuma izlietojumu" – ne vairāk kā 9 500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šo noteikumu 5.3. apakšpunktā paredzētā atbalsta programmu ietekmes izvērtējuma (</w:t>
      </w:r>
      <w:r w:rsidR="00000000" w:rsidRPr="00000000" w:rsidDel="00000000">
        <w:rPr>
          <w:i w:val="1"/>
          <w:rtl w:val="0"/>
        </w:rPr>
        <w:t xml:space="preserve">ex-post</w:t>
      </w:r>
      <w:r w:rsidR="00000000" w:rsidRPr="00000000" w:rsidDel="00000000">
        <w:rPr>
          <w:rtl w:val="0"/>
        </w:rPr>
        <w:t xml:space="preserve">) izstrādei – ne vairāk kā 8 818</w:t>
      </w:r>
      <w:r w:rsidR="00000000" w:rsidRPr="00000000" w:rsidDel="00000000">
        <w:rPr>
          <w:i w:val="1"/>
          <w:rtl w:val="0"/>
        </w:rPr>
        <w:t xml:space="preserve"> 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 investīcijas īstenošanu ir atbildīga Valsts kanceleja. Investīcijas atbalstu finansējuma saņēmējiem šo noteikumu 5.1. un 5.2. apakšpunktā minētajā tematiskajā virzienā sniedz Sabiedrības integrācijas fonds (turpmāk – atbalsta sniedzējs) granta projektu veidā, organizējot atklātu projektu iesniegumu konkursu (turpmāk – atlase) saskaņā ar šo noteikumu nosacījumiem, atlases nolikumu un starpresoru vienošanos, kas noslēgta ar Valsts kanceleju par investīcijas ieviešanas nosacījumiem. Atlase tiek īstenota vienā kārtā, bet, ja šajā kārtā netiek sasniegti šo noteikumu 10.1. apakšpunktā noteiktie mērķa rādītāji, tad atlase var tikt organizēta atkārtoti, izsludinot nākamo kārtu. Šo noteikumu 5.3. apakšpunktā minētā atbalsta programmu ietekmes izvērtējuma (</w:t>
      </w:r>
      <w:r w:rsidR="00000000" w:rsidRPr="00000000" w:rsidDel="00000000">
        <w:rPr>
          <w:i w:val="1"/>
          <w:rtl w:val="0"/>
        </w:rPr>
        <w:t xml:space="preserve">ex-post</w:t>
      </w:r>
      <w:r w:rsidR="00000000" w:rsidRPr="00000000" w:rsidDel="00000000">
        <w:rPr>
          <w:rtl w:val="0"/>
        </w:rPr>
        <w:t xml:space="preserve">) izstrādi nodrošina atbalsta sniedzējs saskaņā ar kārtību, ko nosaka starpresoru vienošanās ar Valsts kanceleju."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Pievienotās vērtības nodokļa izmaksas finansējuma saņēmējiem un sadarbības partneriem nav attiecināmas finansēšanai no Atveseļošanas fonda finansējuma. Tās sedz no valsts budžeta līdzekļiem, ievērojot šo noteikumu 6. punktā minētos apjoma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piešķirtā avansa un starpposma maksājumu summa var sasniegt 95 % no projekta Atveseļošanas fonda finansējuma un pievienotās vērtības nodokļa kopsummas (ja tas ir paredzēts projektā) jau projekta īstenošanas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Atbalsta sniedzējam, finansējuma saņēmējam un viņa sadarbības partneriem ir pienākums atmaksāt piešķirto pievienotās vērtības nodokļa daļu valsts budžetā, ja sākotnēji plānotais pievienotās vērtības nodokļa apjoms ir bijis lielāks, nekā faktiski nepieciešams."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24-TA-865</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24-TA-865</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noteikumu_(grozījumu)_projekts_24-TA-865.docx</dc:title>
</cp:coreProperties>
</file>

<file path=docProps/custom.xml><?xml version="1.0" encoding="utf-8"?>
<Properties xmlns="http://schemas.openxmlformats.org/officeDocument/2006/custom-properties" xmlns:vt="http://schemas.openxmlformats.org/officeDocument/2006/docPropsVTypes"/>
</file>