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658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10. oktobrī (prot. Nr. 50 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nekustamā īpašuma "Bulduri 1001" 7. līnijā 1A, Jūrmalā, nodošanu Jūrmalas valstspilsētas pašvaldības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42. panta pirmo daļu un 43. pantu un Meža likuma 44. panta ceturtās daļas 2. punkta "d" apakšpunktu atļaut Finanšu ministrijai nodot bez atlīdzības Jūrmalas valstspilsētas pašvaldības īpašumā nekustamo īpašumu "Bulduri 1001" (nekustamā īpašuma kadastra Nr. 1300 007 1001) – zemes vienību (zemes vienības kadastra apzīmējums 1300 007 1001) 2,0931 ha platībā, tai skaitā meža zemi 1,859 ha platībā un būvi (būves kadastra apzīmējums 1300 007 1001 002) – 7. līnijā 1A, Jūrmalā, kas ierakstīts zemesgrāmatā uz valsts vārda Finanšu ministrijas personā, kopā ar būvēm (būvju kadastra apzīmējumi 1300 007 1001 003 un 1300 007 1001 004) (turpmāk – nekustamais īpašums).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Jūrmalas valstspilsētas pašvaldībai saskaņā ar Publiskas personas mantas atsavināšanas likuma 42. panta pirmo daļu nekustamo īpašumu (izņemot meža zemi) izmantot pašvaldības autonomo funkciju īstenošanai saskaņā ar Pašvaldību likuma 4. panta pirmo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Jūrmalas valstspilsētas pašvaldībai saskaņā ar Publiskas personas mantas atsavināšanas likuma 42. panta pirmo daļu un Meža likuma 44. panta ceturtās daļas 2. punkta "d" apakšpunktu nekustamā īpašuma sastāvā esošo meža zemi 1,8590 ha platībā izmantot mežaparku ierīkošanai un uzturēšanai pilsētu un ciemu teritorijās.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Jūrmalas valstspilsētas pašvaldībai nekustamo īpašumu (tai skaitā meža zemi) bez atlīdzības nodot valstij, ja tas vairs netiek izmantots šā rīkojuma </w:t>
      </w:r>
      <w:r w:rsidR="00000000" w:rsidRPr="00000000" w:rsidDel="00000000">
        <w:rPr>
          <w:rtl w:val="0"/>
        </w:rPr>
        <w:t xml:space="preserve">2.</w:t>
      </w:r>
      <w:r w:rsidR="00000000" w:rsidRPr="00000000" w:rsidDel="00000000">
        <w:rPr>
          <w:rtl w:val="0"/>
        </w:rPr>
        <w:t xml:space="preserve"> un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minēto funkciju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Jūrmalas valstspilsētas pašvaldībai, nostiprinot zemesgrāmatā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norādīt, ka īpašuma tiesības nostiprinātas uz laiku, kamēr Jūrmalas valstspilsētas pašvaldība nodrošina šā rīkojuma </w:t>
      </w:r>
      <w:r w:rsidR="00000000" w:rsidRPr="00000000" w:rsidDel="00000000">
        <w:rPr>
          <w:rtl w:val="0"/>
        </w:rPr>
        <w:t xml:space="preserve">2.</w:t>
      </w:r>
      <w:r w:rsidR="00000000" w:rsidRPr="00000000" w:rsidDel="00000000">
        <w:rPr>
          <w:rtl w:val="0"/>
        </w:rPr>
        <w:t xml:space="preserve"> un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minētās funkcijas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ierakstīt atzīmi par aizliegumu atsavināt nekustamo īpašumu un apgrūtināt to ar lietu tiesībām un hipotēku.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5.2. </w:t>
      </w:r>
      <w:r w:rsidR="00000000" w:rsidRPr="00000000" w:rsidDel="00000000">
        <w:rPr>
          <w:rtl w:val="0"/>
        </w:rPr>
        <w:t xml:space="preserve">apakšpunktā</w:t>
      </w:r>
      <w:r w:rsidR="00000000" w:rsidRPr="00000000" w:rsidDel="00000000">
        <w:rPr>
          <w:rtl w:val="0"/>
        </w:rPr>
        <w:t xml:space="preserve"> minēto aizliegumu – apgrūtināt nekustamo īpašumu ar hipotēku – nepiemēro, ja nekustamais īpašums tiek ieķīlāts valsts aizdevuma nodrošināšanai, lai saņemtu Eiropas Savienības fondu atbalstu.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ministra pienākumu izpildītāja ‒ 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23-TA-1869</w:t>
    </w:r>
    <w:r>
      <w:br/>
    </w:r>
    <w:r w:rsidR="00000000" w:rsidRPr="00000000" w:rsidDel="00000000">
      <w:rPr>
        <w:rtl w:val="0"/>
      </w:rPr>
      <w:t xml:space="preserve">Izdrukāts 29.07.2026. 22.09 - 1.0.VK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23-TA-1869</w:t>
    </w:r>
    <w:r>
      <w:br/>
    </w:r>
    <w:r w:rsidR="00000000" w:rsidRPr="00000000" w:rsidDel="00000000">
      <w:rPr>
        <w:rtl w:val="0"/>
      </w:rPr>
      <w:t xml:space="preserve">Izdrukāts 29.07.2026. 22.09 - 1.0.VK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rīkojuma_projekts_23-TA-1869.docx</dc:title>
</cp:coreProperties>
</file>

<file path=docProps/custom.xml><?xml version="1.0" encoding="utf-8"?>
<Properties xmlns="http://schemas.openxmlformats.org/officeDocument/2006/custom-properties" xmlns:vt="http://schemas.openxmlformats.org/officeDocument/2006/docPropsVTypes"/>
</file>