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budžeta finansētās izglītības programmas un vidējais apmaksājamo pedagoģisko likmju skaits mēnesī uz vienu izglītojamo</w:t>
      </w:r>
    </w:p>
    <w:tbl>
      <w:tblPr>
        <w:tblStyle w:val="DefaultTable"/>
        <w:bidiVisual w:val="0"/>
        <w:tblW w:w="131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7"/>
        <w:gridCol w:w="7003"/>
        <w:gridCol w:w="1983"/>
        <w:gridCol w:w="3234"/>
        <w:tblGridChange w:id="0">
          <w:tblGrid>
            <w:gridCol w:w="347"/>
            <w:gridCol w:w="7003"/>
            <w:gridCol w:w="1983"/>
            <w:gridCol w:w="323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Profesionālās ievirzes izglītības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veida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izglītības programmā apmaksājamo pedagoģisko likmju skaits mēnesī uz vienu izglītojamo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Mūzikas programmas, kurās izglītojamais uzsāk mācības paralēli vispārējās pamatizglītības 1.–6. klasei un kuras licencētas līdz 2024. gada 30. aprīlim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Mūzikas programmas, kurās izglītojamais uzsāk mācības paralēli vispārējās pamatizglītības 1.–9. klasei un kuras licencētas līdz 2024. gada 30. aprīlim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Mūzikas programmas, kurās izglītojamais uzsāk mācības paralēli vispārējās vidējās izglītības ieguvei un kuras licencētas līdz 2024. gada 30. aprīlim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programmas, kurās izglītojamais uzsāk mācības paralēli vispārējās pamatizglītības 1.–9. klasei un kuras licencētas līdz 2024. gada 30. aprīlim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programmas, kurās izglītojamais uzsāk mācības paralēli vispārējās vidējās izglītības ieguvei un kuras licencētas līdz 2024. gada 30. aprīlim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Dejas programmas, kurās izglītojamais uzsāk mācības paralēli vispārējās pamatizglītības 1.–9. klasei un kuras licencētas līdz 2024. gada 30. aprīlim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Dejas programmas, kurās izglītojamais uzsāk mācības paralēli vispārējās vidējās izglītības ieguvei un kuras licencētas līdz 2024. gada 30. aprīlim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Vizuāli plastiskā māksla 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Vizuāli plastiskā māksla 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Vizuāli plastiskā māksla 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Vizuāli plastiskā māksla 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Dejas pamati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Laikmetīgās dejas pamati I, Mūsdienu dejas – Hip-hop dejas pamati I, Mūsdienu dejas – Stepa dejas pamati I, Mūsdienu dejas – Džeza dejas pamati 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Laikmetīgā deja III, Mūsdienu dejas – Hip-hop deja III, Mūsdienu dejas – Stepa deja III, Mūsdienu dejas – Džeza deja 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Vijoles spēle I, Alta spēle I, Čella spēle I, Kontrabasa spēle I, Obojas spēle I, Flautas spēle I, Fagota spēle I, Klarnetes spēle I, Saksofona spēle I, Mežraga spēle I, Trompetes spēle I, Trombona spēle I, Eifonija spēle I, Tubas spēle I, Sitaminstrumentu spēle I, Vijoles spēle II, Alta spēle II, Čella spēle II, Kontrabasa spēle II, Obojas spēle II, Flautas spēle II, Fagota spēle II, Klarnetes spēle II, Saksofona spēle II, Mežraga spēle II, Trompetes spēle II, Trombona spēle II, Eifonija spēle II, Tubas spēle II, Sitaminstrumentu spēle 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Akordeona spēle I, Arfas spēle I, Ģitāras spēle I, Kokles spēle I, Akordeona spēle II, Arfas spēle II, Ģitāras spēle II, Kokles spēle 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Klavierspēle I, Ērģeļspēle 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Kora klase I, Kora klase 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Mūsdienu ritma mūzika I, Mūsdienu ritma mūzika 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Akordeona spēle III, Vijoles spēle III, Alta spēle III, Čella spēle III, Kontrabasa spēle III, Arfas spēle III, Ģitāras spēle III, Kokles spēle III, Obojas spēle III, Flautas spēle III, Fagota spēle III, Klarnetes spēle III, Saksofona spēle III, Mežraga spēle III, Trompetes spēle III, Trombona spēle III, Eifonija spēle III, Tubas spēle III, Sitaminstrumentu spēle III, Klavierspēle III, Ērģeļspēle III, Dziedāšana III, Mūsdienu ritma mūzika III, Kora diriģēšana 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24-TA-1937</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24-TA-1937</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noteikumu_konsolidētā_versija_p1_24-TA-1937.docx</dc:title>
</cp:coreProperties>
</file>

<file path=docProps/custom.xml><?xml version="1.0" encoding="utf-8"?>
<Properties xmlns="http://schemas.openxmlformats.org/officeDocument/2006/custom-properties" xmlns:vt="http://schemas.openxmlformats.org/officeDocument/2006/docPropsVTypes"/>
</file>