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aprīlī (prot. Nr. 14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(Hersonas apgabala Heničes rajona Heničes pilsētas militārajai pārvaldei, Ukrainas Aizsardzības ministrijas armijas daļām, pašvaldības nekomercijas uzņēmumam "Harkivas reģiona Valkivas pilsētas domes primārās medicīnas un sanitārās palīdzības centrs "Valkiva"", Kitaigorodas ciema padomei, komunālajam nekomerciālajam uzņēmumam "Ļvivas teritoriālā medicīnas biedrība "Intensīvās ārstniecības metodes un neatliekamās medicīniskās palīdzības daudzprofilu klīniskā slimnīca"", valsts institūcijai "Ukrainas Nacionālās Medicīnas zinātņu akadēmijas J. I. Kundijeva Darba medicīnas institūts")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24-TA-660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24-TA-660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rīkojuma_projekts_24-TA-660.docx</dc:title>
</cp:coreProperties>
</file>

<file path=docProps/custom.xml><?xml version="1.0" encoding="utf-8"?>
<Properties xmlns="http://schemas.openxmlformats.org/officeDocument/2006/custom-properties" xmlns:vt="http://schemas.openxmlformats.org/officeDocument/2006/docPropsVTypes"/>
</file>