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5. maijā (prot. Nr. 25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pasākumu "Atjaunīgo energoresursu enerģijas veicināšana – biometāns"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piešķirtais atbalsts nav kvalificējams kā komercdarbības atbalsts </w:t>
      </w:r>
      <w:r w:rsidR="00000000" w:rsidRPr="00000000" w:rsidDel="00000000">
        <w:rPr>
          <w:rtl w:val="0"/>
        </w:rPr>
        <w:t xml:space="preserve">Komercdarbības atbalsta kontroles likuma 5. panta</w:t>
      </w:r>
      <w:r w:rsidR="00000000" w:rsidRPr="00000000" w:rsidDel="00000000">
        <w:rPr>
          <w:rtl w:val="0"/>
        </w:rPr>
        <w:t xml:space="preserve">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samazināt fosilo energoresursu lomu, palielinot atjaunīgās enerģijas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vienotais dabasgāzes pārvades un uzglabāšanas sistēmas operators un dabasgāzes ražotāji.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2029. gada 31. decembrim pasākumā sasniedzamais projekta iznākuma rādītājs un tā vērtība ir divu jaunu biometāna ievades punktu izveide.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Klimata un enerģētikas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plānotais un pieejamais kopējais attiecināmais finansējums ir 4 705 883 </w:t>
      </w:r>
      <w:r w:rsidR="00000000" w:rsidRPr="00000000" w:rsidDel="00000000">
        <w:rPr>
          <w:i w:val="1"/>
          <w:rtl w:val="0"/>
        </w:rPr>
        <w:t xml:space="preserve">euro</w:t>
      </w:r>
      <w:r w:rsidR="00000000" w:rsidRPr="00000000" w:rsidDel="00000000">
        <w:rPr>
          <w:rtl w:val="0"/>
        </w:rPr>
        <w:t xml:space="preserve">, tai skaitā Eiropas Reģionālās attīstības fonda finansējums – 4 000 000 </w:t>
      </w:r>
      <w:r w:rsidR="00000000" w:rsidRPr="00000000" w:rsidDel="00000000">
        <w:rPr>
          <w:i w:val="1"/>
          <w:rtl w:val="0"/>
        </w:rPr>
        <w:t xml:space="preserve">euro </w:t>
      </w:r>
      <w:r w:rsidR="00000000" w:rsidRPr="00000000" w:rsidDel="00000000">
        <w:rPr>
          <w:rtl w:val="0"/>
        </w:rPr>
        <w:t xml:space="preserve">un privātais līdzfinansējums – 705 883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Attiecināmais Eiropas Reģionālās attīstības fonda finansējuma apmērs nepārsniedz 85 procentus no projekta kopējā attiecināmā finansējuma, un privātais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Reģionālās attīstības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kas pēc projekta iesnieguma apstiprināšanas kļūst par finansējuma saņēmēju, ir vienotais dabasgāzes pārvades un uzglabāšanas sistēmas operators – akciju sabiedrība "Conexus Baltic Grid".</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var iesniegt vienu vai vairākus projekta iesniegumus par summu, kas nepārsniedz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kopējo attiecināmā finansējuma apmēru.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 kas sekmē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iznākuma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punktu izbūve, visa nepieciešamā tehniskā aprīkojuma nodrošināšana biometāna ievadei saskaņā ar </w:t>
      </w:r>
      <w:r w:rsidR="00000000" w:rsidRPr="00000000" w:rsidDel="00000000">
        <w:rPr>
          <w:rtl w:val="0"/>
        </w:rPr>
        <w:t xml:space="preserve">Ministru kabineta 2025. gada 21. janvāra noteikumiem Nr. 50 "Noteikumi par prasībām gāzveida stāvoklī pārvērstas sašķidrinātās dabasgāzes, no atjaunīgajiem energoresursiem saražota vai iegūta gāzveida kurināmā un mazoglekļa gāzveida kurināmā ievadīšanai dabasgāzes pārvades un sadales sistēmā"</w:t>
      </w:r>
      <w:r w:rsidR="00000000" w:rsidRPr="00000000" w:rsidDel="00000000">
        <w:rPr>
          <w:rtl w:val="0"/>
        </w:rPr>
        <w:t xml:space="preserve">, kā arī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tehniskās dokumentācijas sagatavošana.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plānotās tiešās attiecināmās izmaksas, kas ir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darbību īstenošanu un projekta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projekta iesniegumu un īstenošanu saistītās pamatojošās dokumentācijas sagatavošanas izmaksas (izņemot izmaksas par projekta iesnieguma informācijas sagatavošanu un aizpildīšanu Kohēzijas politikas fondu vadības informācijas sistēmā), kas nav radušās uz darba līguma pamata,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inženierbūvju, labiekārtojuma elementu un dabā balstīto risinājumu tehnisko specifikāciju, tehnisko projektu vai būvprojektu sagatavošanas izmaksas (tai skaitā ar būvniecības ieceri un būvprojekta minimālā sastāvā saistīto sagatavošanas darbu), lai pielāgotos klimata pārmaiņām, kā arī būvprojekta ekspertīzes izmaksas, ja ekspertīzes veikšanu nosaka būvniecības jomu regulējošie normatīvie akti;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un būvdarbu būvuzraudzības izmaksas, ja to veikšanu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un pakalpojumu līgumu izmaksas, izņemot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nepieciešamās 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labiekārtošanas izmaksas, kas saistītas ar būves nodošanu ekspluatācijā un ar projekta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Attiecināmajās izmaksās iekļauj tikai obligātās Eiropas Savienības fondu komunikācijas un vizuālās identitātes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kas nepārsniedz piecus procentus no projekta kopējām plānotajām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izmaksas ir attiecināmas no 2025. gada 29. maija. Projekta iesniegumā neiekļauj līdz projekta iesnieguma iesniegšanas dienai pabeigtas darbības un finansējumu tām nepiešķir.</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no finansējuma saņēmēja līdzekļiem.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ir noslēgts civiltiesiskais līgums par projekta īstenošanu.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Eiropas Reģionālās attīstības fonda finansējuma, ievērojot, ka avansu var izmaksāt vairākos maksājumos, bet nākamo avansa maksājumu var saņemt pēc tam, kad iepriekšējais ieguldīts pilnā apmērā, un avansa un starpposma maksājumu kopsumma nepārsniedz 90 procentus no projektam piešķirtā Eiropas Reģionālās attīstības fonda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projektu īsteno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un sniedz informāciju sadarbības iestādei Kohēzijas politikas fondu vadības informācijas sistēmā par projektā sasniegto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izpilda attiecināmās prasības un nodrošina, ka projekts atbilst horizontālajiem principiem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"Klimatdrošināšana" un "Nenodarīt būtisku kaitējumu" īstenošanu un sniedz šo informāciju sadarbības iestādei Kohēzijas politikas fondu vadības informācijas sistēmā kopā ar noslēguma maksājuma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uzņemas segt sadārdzinājumu un nodrošina, lai pasākuma ietvaros attiecināmās izmaksas nepārklātos ar citiem valsts un ārvalstu finanšu atbalsta instrumentiem, kā arī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vai izmanto jau esošu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pēcuzraudzības periodā, kas nepārsniedz piecus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līdz projekta noslēguma maksājuma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Kur tas ir attiecināms un atbilstošs ieguldījumu specifikai, var īstenot sociāli atbildīgu iepirkumu, kā arī piemērot inovatīvā publiskā iepirkuma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25-TA-1670</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25-TA-1670</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noteikumu_projekts_25-TA-1670.docx</dc:title>
</cp:coreProperties>
</file>

<file path=docProps/custom.xml><?xml version="1.0" encoding="utf-8"?>
<Properties xmlns="http://schemas.openxmlformats.org/officeDocument/2006/custom-properties" xmlns:vt="http://schemas.openxmlformats.org/officeDocument/2006/docPropsVTypes"/>
</file>