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Aizdevuma procentu likme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Aizdevumiem, ko piešķir līdz 2022. gada 31. decembrim, procentu likmes zemāko robežu nosaka atbilstoši Eiropas Komisijas 2022. gada 1. februārī publicētajai bāzes likmei, savukārt aizdevumiem, ko piešķir no 2023. gada 1. janvāra līdz 2023. gada 31. decembrim, procentu likmes zemāko robežu nosaka atbilstoši Eiropas Komisijas 2022. gada 1. oktobrī publicētajai bāzes likmei, visos gadījumos pieskaitot tabulā norādītās kredītriska robežas atbilstoši saimnieciskās darbības veidam un aizdevuma termiņam.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Zemākā kopējā aizdevumu likme sīkajiem (mikro), mazajiem un vidējiem saimnieciskās darbības veicējiem 1.–3. aizdevuma gadā nevar būt mazāka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22-TA-3312</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22-TA-3312</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noteikumu_konsolidētā_versija_p_22-TA-3312.docx</dc:title>
</cp:coreProperties>
</file>

<file path=docProps/custom.xml><?xml version="1.0" encoding="utf-8"?>
<Properties xmlns="http://schemas.openxmlformats.org/officeDocument/2006/custom-properties" xmlns:vt="http://schemas.openxmlformats.org/officeDocument/2006/docPropsVTypes"/>
</file>