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Azartspēļu un izložu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Azartspēļu un izložu likumā (Latvijas Republikas Saeimas un Ministru Kabineta Ziņotājs, 2006, 1., 14. nr.; Latvijas Vēstnesis, 2011, 65. nr.; 2013, 188. nr.; 2015, 248. nr.; 2016, 241. nr.; 2017, 222., 242. nr.; 2019, 75. nr.; 2021, 73.A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publiska izloze</w:t>
      </w:r>
      <w:r w:rsidR="00000000" w:rsidRPr="00000000" w:rsidDel="00000000">
        <w:rPr>
          <w:rtl w:val="0"/>
        </w:rPr>
        <w:t xml:space="preserve"> – izlozes rezultāta vai laimētāja noteikšana pēc nejaušības principa, izmantojot izlozes iekārtu vai datu apstrādes sistēmas programmatūru vai veicot fizisku laimestu izlozi ar atbildīgās personas vai komisijas starpniecību un izlozes rezultātus paziņojot ar elektronisko plašsaziņas vai masu informācijas līdzekļu starpniecību vai publiska pasākuma norises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sadarbības programma</w:t>
      </w:r>
      <w:r w:rsidR="00000000" w:rsidRPr="00000000" w:rsidDel="00000000">
        <w:rPr>
          <w:rtl w:val="0"/>
        </w:rPr>
        <w:t xml:space="preserve"> – azartspēļu vai interaktīvo azartspēļu organizētāja materiālu vai nemateriālu labumu piedāvāšana reģistrētam spēlētājam, kurš, reģistrējoties dalībai azartspēlē vai interaktīvajā azartspēlē, devis piekrišanu dalībai sadarbības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20. un 21.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"20) </w:t>
      </w:r>
      <w:r w:rsidR="00000000" w:rsidRPr="00000000" w:rsidDel="00000000">
        <w:rPr>
          <w:b w:val="1"/>
          <w:rtl w:val="0"/>
        </w:rPr>
        <w:t xml:space="preserve">personalizētā viedkarte</w:t>
      </w:r>
      <w:r w:rsidR="00000000" w:rsidRPr="00000000" w:rsidDel="00000000">
        <w:rPr>
          <w:rtl w:val="0"/>
        </w:rPr>
        <w:t xml:space="preserve"> – karte vai cits tehnoloģiskais risinājums (piemēram, viedtālruņa lietotne), kura funkcionalitāte nodrošina spēlētāja identifikāciju, kā arī sniedz informāciju, kas ļautu identificēt personas risku pārmērīgai tieksmei uz azartspēļu spēlēšanu;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risku uzraudzības un kontroles sistēma</w:t>
      </w:r>
      <w:r w:rsidR="00000000" w:rsidRPr="00000000" w:rsidDel="00000000">
        <w:rPr>
          <w:rtl w:val="0"/>
        </w:rPr>
        <w:t xml:space="preserve"> – azartspēļu, interaktīvo azartspēļu vai interaktīvo izložu organizētāju izveidota iekšēja ar azartspēļu spēlēšanu saistīta risku uzraudzības un kontroles sistēma, kuras mērķis ir nepieļaut tādu personu spēlēšanu, par kurām ir aizdomas, ka tām pastāv atkarību izveidošanās risks."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 panta trešo daļu pēc vārda "terorisma" ar vārdiem "un proliferācijas".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Fiziska persona var pieprasīt, lai tai tiktu noteikts liegums spēlēt azartspēles, interaktīvās azartspēles vai interaktīvās izlozes citās Eiropas Savienības dalībvalstīs, ar kurām Latvijas Republikai ir noslēgts starptautisks līgums par informācijas apmaiņu ar attiecīgo valstu pašatteikušos personu reģistriem, un tā tiktu iekļauta pašatteikušos personu reģistrā saskaņā ar attiecīgā starptautiskā līguma noteikumiem. Liegums attiecināms uz attiecīgajā dalībvalstī atļautajām azartspēlēm, interaktīvajām azartspēlēm vai interaktīvajām izlozēm.";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pēc vārda "pārzinis" ar vārdiem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Izložu un azartspēļu uzraudzības inspekcija nodrošina citām Eiropas Savienības dalībvalstīm, ar kurām Latvijas Republikai ir noslēgts starptautisks līgums par informācijas apmaiņu ar attiecīgo valstu pašatteikušos personu reģistriem, autorizētu attālinātu piekļuvi Latvijas Republikas pašatteikušos personu reģistra datiem lieguma īstenošanai Latvijas Republikas pašatteikušos personu reģistrā iekļautajām fiziskajām personām.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Izložu un azartspēļu uzraudzības inspekcija veic fizisko personu datu apstrādi, lai nodrošinātu noteiktā lieguma ievērošanu fiziskai personai, kura iekļauta Latvijas Republikas un citu to Eiropas Savienības dalībvalstu pašatteikušos personu reģistrā, ar kurām Latvijas Republikai ir noslēgts starptautisks līgums par informācijas apmaiņu ar attiecīgo valstu pašatteikušos personu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astoto daļu ar 6.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kārtību, kādā Izložu un azartspēļu uzraudzības inspekcija saņem un nodod informāciju par Latvijas Republikas pašatteikušos personu reģistra datiem un citu to Eiropas Savienības dalībvalstu pašatteikušos personu reģistru datiem, ar kurām Latvijas Republikai ir noslēgts starptautisks līgums par informācijas apmaiņu ar attiecīgo valstu pašatteikušos personu reģistriem."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"Izložu un azartspēļu uzraudzības inspekcijas apstiprināts" ar vārdiem "vienotajā izložu un azartspēļu uzraudzības informācijas sistēmā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sestajā daļā vārdus "apstiprināšanai iesniegto";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7.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Kazino ir azartspēļu organizēšanas vieta (telpa vai vairākas savstarpēji saistītas telpas), kura ir īpaši iekārtota spēļu automātu, ruletes (cilindriskās spēles), kāršu un kauliņu spēļu organizēšanai un kurā ir uzstādīti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Kazino spēļu galdus drīkst ekspluatēt tikai saslēgtus tīklā vienotajā izložu un azartspēļu uzraudzības informācijas sistēmā, nodrošinot tiešsaistes datu apmaiņu ar Izložu un azartspēļu uzraudzības inspekciju. Prasības attiecībā uz kazino spēļu galdu pieslēgšanu vienotajai izložu un azartspēļu uzraudzības informācijas sistēmai, kā arī minētajā sistēmā iekļaujamos datus un datu apmaiņas kārtību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22. panta pirmo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Spēļu zāle ir azartspēļu organizēšanas vieta (telpa vai vairākas savstarpēji saistītas telpas), kurā ir uzstādīti un tiek ekspluatēti vismaz 25 azartspēļu automāti."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23. pantu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23. pants. Bingo zāle</w:t>
      </w:r>
      <w:r w:rsidR="00000000" w:rsidRPr="00000000" w:rsidDel="00000000">
        <w:rPr>
          <w:rtl w:val="0"/>
        </w:rPr>
        <w:t xml:space="preserve">
</w:t>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Bingo zāle ir azartspēļu organizēšanas vieta (telpa vai vairākas savstarpēji saistītas telpas), kurā organizē bingo."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24. panta otro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Azartspēļu automātus drīkst ekspluatēt tikai saslēgtus tīklā vienotās izložu un azartspēļu uzraudzības informācijas sistēmā, nodrošinot tiešsaistes datu apmaiņu ar Izložu un azartspēļu uzraudzības inspekciju. Vienotās izložu un azartspēļu uzraudzības informācijas sistēmas ieviešanas un uzturēšanas kārtību, prasības attiecībā uz azartspēļu automātu pieslēgšanu vienotajai izložu un azartspēļu uzraudzības informācijas sistēmai, kā arī minētajā sistēmā iekļaujamos datus un datu apmaiņas kārtību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25. pantu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 pants. Totalizatora vai derību likmju pieņemšanas vieta un tajā esošo likmju pieņemšanas iekārtu ekspluatācija</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Totalizatora vai derību likmju pieņemšanas vieta ir telpa vai telpas daļa, kurā pieņem likmes totalizatoram vai derībām.</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Totalizatora vai derību likmju pieņemšanas vietā esošās likmju pieņemšanas iekārtas drīkst ekspluatēt tikai saslēgtas tīklā vienotajā izložu un azartspēļu uzraudzības informācijas sistēmā, nodrošinot tiešsaistes datu apmaiņu ar Izložu un azartspēļu uzraudzības inspekciju. Prasības attiecībā uz totalizatora vai derību likmju pieņemšanas vietā esošo likmju pieņemšanas iekārtu pieslēgšanu vienotajai izložu un azartspēļu uzraudzības informācijas sistēmai, kā arī minētajā sistēmā iekļaujamos datus un datu apmaiņas kārtību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36.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to, lai azartspēļu organizēšanas vietā ir pieejami attiecīgās azartspēles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astoto, devīto, desmito, vienpadsmito un divpadsmito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Azartspēļu organizētājam ir pienākums nodrošināt, ka spēlētājs nevar uzsākt spēli bez personalizētās viedkartes, un uzraudzīt, lai spēlētājs to izmantotu, spēlējot spēļu automātu spēles, ruleti (cilindrisko spēli), kāršu spēles, kauliņu spēles, derības un totalizatoru. Personalizētā viedkarte sniedz informāciju par katru konkrēto spēlētāju identificējošiem datiem, spēlē pavadīto laiku, iemaksātajiem naudas līdzekļiem, kā arī iegūtajiem laimestiem, kas ļauj identificēt personas risku pārmērīgai tieksmei uz azartspēļu spēlēšanu. Personalizētās viedkartes izveides kārtību nosaka Ministru kabinets.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Azartspēļu organizētājam, pamatojoties uz spēlētāju azartspēļu spēlēšanas paradumu monitoringa rezultātā iegūtajiem datiem, ir pienākums, piemērojot atbilstošus pasākumus, ierobežot spēlētāja turpmāku dalību azartspēlēs, ja viņa azartspēļu spēlēšanas paradumi var ietekmēt un paaugstināt spēlētāja azartspēļu atkarības iestāšanās risku.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Azartspēļu organizētājam ir pienākums nodrošināt, ka ēdināšanas pakalpojumu piedāvāšana un sniegšana, pārtikas tirdzniecība vai pārtikas patēriņš netiek veikts tieši pie spēļu automātiem, kāršu, kauliņu un ruletes spēļu galdiem vai citu azartspēļu iekārtām, un informēt azartspēļu organizēšanas vietas apmeklētājus par noteiktajiem ierobežojumiem.</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Azartspēļu organizētājam ir pienākums azartspēļu organizēšanas vietā izvietot skaidri salasāmas norādes par atsevišķām vietām (bārs vai atpūtas telpa), kur tiek nodrošināta ēdināšanas pakalpojumu piedāvāšana un sniegšana un notiek pārtikas tirdzniecība.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Šā panta desmitajā un vienpadsmitajā daļā noteiktās prasības netiek attiecinātas uz totalizatora vai derību likmju pieņemšanas vietām."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likumu ar 36.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36.</w:t>
      </w:r>
      <w:r w:rsidR="00000000" w:rsidRPr="00000000" w:rsidDel="00000000">
        <w:rPr>
          <w:b w:val="1"/>
          <w:vertAlign w:val="superscript"/>
          <w:rtl w:val="0"/>
        </w:rPr>
        <w:t xml:space="preserve">1</w:t>
      </w:r>
      <w:r w:rsidR="00000000" w:rsidRPr="00000000" w:rsidDel="00000000">
        <w:rPr>
          <w:b w:val="1"/>
          <w:rtl w:val="0"/>
        </w:rPr>
        <w:t xml:space="preserve"> pants. Risku uzraudzības un kontroles sistēma un spēlētāju dalība sadarbības programmā</w:t>
      </w:r>
      <w:r w:rsidR="00000000" w:rsidRPr="00000000" w:rsidDel="00000000">
        <w:rPr>
          <w:rtl w:val="0"/>
        </w:rPr>
        <w:t xml:space="preserve">
</w:t>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Risku uzraudzības un kontroles sistēmas mērķis ir aizsargāt spēlētāju no azartspēļu atkarības izveidošanās riska un nepieļaut tādu personu spēlēšanu, par kurām ir aizdomas, ka tām pastāv azartspēļu atkarību izveidošanās risks. Azartspēļu organizētājs izveido risku uzraudzības un kontroles sistēmu.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Risku uzraudzības un kontroles sistēmas ietvaros azartspēļu organizētājs veic to azartspēļu spēlētāja paradumu monitoringu, kas ir saistīti vai var liecināt par to, ka personai ir vai var veidoties azartspēļu atkarība.</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Lai veiktu paradumu monitoringu, azartspēļu organizētājs apstrādā šādus spēlētāja datus: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identifikācijas dati;</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bankas konta numurs;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likmju limiti;</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spēles kontā veiktās darbības.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Azartspēļu organizētājs spēlētājiem var piedāvāt dalību sadarbības programmā, ja tas veic spēlētāju azartspēļu spēlēšanas paradumu monitoringu.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Izložu un azartspēļu uzraudzības inspekcija uzrauga šā panta otrajā daļā minētās sistēmas darbību un azartspēļu organizētāja rīcību spēlētājam piemītošas azartspēļu atkarības izveidošanās riska identificēšanas gadījumā.</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Azartspēļu organizētājs nodrošina Izložu un azartspēļu uzraudzības inspekcijas amatpersonām piekļuvi nepersonalizētiem datiem par veikto azartspēļu spēlēšanas paradumu monitoringu, lai veiktu kontroles pasākumus un pārbaudītu, kā azartspēļu organizētāji pilda šajā likumā un citos normatīvajos aktos noteiktos pienākumus aizsargāt spēlētāju no azartspēļu atkarības izveidošanās riska.</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Azartspēļu organizētājs reizi gadā apkopo nepersonalizētu informāciju par sadarbības programmas dalībniekiem un līdz nākamā gada 1. martam to nodod Izložu un azartspēļu uzraudzības inspekcijai, kas informāciju glabā divus gadus.</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Risku uzraudzības un kontroles sistēmā iegūtos personas datus, kurus azartspēļu organizētājs apstrādā saskaņā ar šā panta trešo daļu, liegts nodot citām personām.</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Ministru kabinets nosaka:</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risku uzraudzības un kontroles sistēmas izveides kārtību, kā arī kārtību un apjomu, kādā ar sistēmas palīdzību tiek novērtēti, dokumentēti un pārskatīti spēlētāja spēlēšanas paradumi un riski;</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pienākumu azartspēļu organizētājam novērtēt riskus un piemērot identificētajam riskam atbilstošus pasākumus, lai ierobežotu spēlētāja dalību spēlē;</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sadarbības programmā iekļaujamos elementus, to uzskaites nosacījumus un prasības to izmantošanai;</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Izložu un azartspēļu uzraudzības inspekcijas uzraudzības īstenošanas kārtību;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sniedzamās informācijas saturu, apjomu, glabāšanu un dzēšanas kārtību.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Risku uzraudzības un kontroles sistēmā iekļautā informācija glabājama elektroniskā veidā divus gadus, veicot drošības pasākumus, lai nepieļautu šīs informācijas nozaudēšanu vai bojāšanu, kā arī nesankcionētu nonākšanu trešo personu rīcībā, un ieviešot informācijas tehnoloģiju risinājumus, kas informācijas nozaudēšanas gadījumā ļautu to atjaunot pilnā apjomā."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37.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skaitli un vārdu "18 gadu" ar skaitli un vārdu "21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vārdu "septiņas" ar skaitli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vārdus "šaubu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Azartspēļu organizētājam ir pienākums nekavējoties (vienlaikus ar lieguma pārbaudi) veikt katra azartspēļu organizēšanas vietas apmeklētāja reģistrāciju."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38.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"septiņas" ar skaitli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un 6.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Izteikt 39. pantu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 pants. Azartspēļu organizēšanas vietu apmeklētāju reģistrācija</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Azartspēļu organizēšanas vietu apmeklētāju reģistrācijas (turpmāk – apmeklētāju reģistrs) mērķis ir noteikt visu azartspēļu organizēšanas vietu apmeklētāju identitāti, lai nepieļautu to personu apmeklējumus, kas nav sasniegušas 21 gada vecumu, un novērstu noziedzīgi iegūtu līdzekļu legalizāciju un terorisma un proliferācijas finansēšanu.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Azartspēļu organizēšanas vietu apmeklētāju reģistrē katrā azartspēļu organizēšanas vietas apmeklējuma reizē, pieprasot viņa personu apliecinošu dokumentu. Apmeklētāju reģistrā par azartspēļu organizēšanas vietu apmeklētāju ievada šādu informāciju: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vārds un uzvārds;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personas kods (ja personas koda nav, – personu apliecinoša dokumenta nosaukums, numurs, izdošanas datums un izdevējiestādes nosaukums);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datums un laiks, kad persona iegājusi telpā, kurā tiek organizētas azartspēles.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Azartspēļu organizēšanas vietu atkārtota apmeklējuma gadījumā personu apliecinoša dokumenta vietā azartspēļu organizēšanas vietu apmeklētājs var uzrādīt attiecīgā azartspēļu organizētāja izdotu personalizēto viedkarti, ar kuru nepārprotami ir identificējams konkrētais azartspēļu organizēšanas vietas apmeklētājs.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Apmeklētāju reģistrā iekļautā informācija glabājama elektroniskā veidā piecus gadus, nepieļaujot šīs informācijas nozaudēšanu vai bojāšanu, nesankcionētu nonākšanu trešo personu rīcībā un ieviešot informācijas tehnoloģiju risinājumus, kas informācijas nozaudēšanas gadījumā ļauj to atjaunot pilnā apjomā.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Apmeklētāju reģistrā iekļauto informāciju azartspēļu organizētājs apkopo un reizi mēnesī iesniedz Izložu un azartspēļu uzraudzības inspekcijai, kas nodrošina šīs informācijas glabāšanu piecus gadus.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Azartspēļu organizēšanas vietu apmeklētāju reģistrācijas kārtību, apmeklētāju reģistrā iekļaujamās informācijas uzglabāšanas, apkopošanas, tālāknodošanas, dzēšanas kārtību un citus ar apmeklētāju reģistru saistītus tehniskus un organizatoriskus pasākumus, kas nodrošina personas datu aizsardzību,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Izložu un azartspēļu uzraudzības inspekcijā nav iesniegti un azartspēļu vietā nav pieejami azartspēles vai papildspēles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6. punktā skaitli un vārdu "18 gadu" ar skaitli un vārdu "21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8., 9. un 10. punktu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azartspēles vai papildspēles noteikumi paredz tādas azartspēles organizēšanu, kura neatbilst šā likuma prasībām;</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azartspēles vai papildspēles noteikumi paredz, ka laimestus var iegūt tikai pēc tam, kad spēlē ir iesaistījies noteikts dalībnieku skaits vai kopējais realizācijas apjoms sasniedzis noteiktu summu;</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azartspēles vai papildspēles noteikumi paredz piramīdveida spēles organizēšanu, kurā dalības maksa (likme) vai ieguldītās vērtības pēc laika dod laimestu nenoteiktam personu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trešo un ceturto teikumu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"Atzīto sporta federāciju organizēto pilngadīgo sportistu sporta sacensību norises vietās, pilngadīgo sportistu sporta sacensību, sporta klubu un līgu nosaukumos un uz pilngadīgo sportistu sporta formām, inventāra un atribūtikas, kā arī sporta organizāciju un pilngadīgo sportistu sponsorēšanas paziņojumos atļauts norādīt Latvijas Republikā licencēta totalizatora vai derību organizētāja reģistrētu figurālu preču zīmi, ja tas veic spēlētāju azartspēļu spēlēšanas paradumu monitoringu šā likuma 36.</w:t>
      </w:r>
      <w:r w:rsidR="00000000" w:rsidRPr="00000000" w:rsidDel="00000000">
        <w:rPr>
          <w:vertAlign w:val="superscript"/>
          <w:rtl w:val="0"/>
        </w:rPr>
        <w:t xml:space="preserve">1</w:t>
      </w:r>
      <w:r w:rsidR="00000000" w:rsidRPr="00000000" w:rsidDel="00000000">
        <w:rPr>
          <w:rtl w:val="0"/>
        </w:rPr>
        <w:t xml:space="preserve"> pantā noteiktajā kārtībā. Vienotas prasības azartspēļu organizēšanas vietas publiskās ārtelpas un skatlogu noformējumam, kā arī atļauto tekstu vai grafisko elementu izmantošanas kārtību preču zīmju un izkārtņu veidošanā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Totalizatora vai derību organizētāja reģistrētā figurālā preču zīme nedrīkst ietvert jebkāda veida tiešu vai netiešu aicinājumu piedalīties azartspēlēs vai apmeklēt azartspēļu norises vietu, kā arī ietvert informāciju vai vizuālus attēlojumus, kas var radīt iespaidu, ka azartspēļu spēlēšana veicina sociālus vai ekonomiskus panākumus un jebkādus sasniegumus vai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un astoto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Azartspēles ir aizliegts organizēt laikā no plkst. 6.00 līdz 9.00, izņemot totalizatoru un derību likmju pieņemšanu.</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Azartspēļu spēlēšanas laikā aizliegts piedāvāt spēlētājam alkoholu bez maksas."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47.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vārdus "reģistrētā kredītiestādē" ar vārdiem "licencētā kredītiestādē, maksājumu iestādē vai elektroniskās naudas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Šā likuma 4. panta ceturtajā daļā minētās institūcijas pienākumus un informāciju, kas izmantota interaktīvo azartspēļu organizēšanai un iekļaujama interaktīvo azartspēļu programmas atbilstības pārskatā,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Aizstāt 49. panta otrās daļas 1. punktā vārdu "iesniegtie" ar vārdu "izstrādātie".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53.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vārdu "kredītiestādes" ar vārdiem "kredītiestādes, maksājumu iestādes vai elektroniskās naudas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4. punktā skaitli un vārdu "18 gadu" ar skaitli un vārdu "21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Interaktīvo azartspēļu organizētājam savstarpējos norēķinos ar klientiem atļauts izmantot Latvijas Republikā licencētā kredītiestādē, maksājumu iestādē vai elektroniskās naudas iestādē atvērtu maksājumu kontu. Izložu un azartspēļu uzraudzības inspekcija izdod ieteikumus (vadlīnijas) interaktīvo azartspēļu organizētāju norēķinu kārtībai ar spēlētājiem.";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Interaktīvo azartspēļu organizētājs un totalizatora vai derību organizētājs, kas pieņem likmes ar elektronisko sakaru pakalpojumu starpniecību, 15 dienu laikā pēc pārskata ceturkšņa beigām Ministru kabineta noteiktajā kārtībā iesniedz Izložu un azartspēļu uzraudzības inspekcijai paziņojumu par pārskata ceturksnī iemaksāto likmju kopsummu un izmaksāto laimestu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Interaktīvās azartspēles aizliegts organizēt ilgāk par 21 (divdesmit vienu) stundu vienā nepārtrauktā vai vairākās atsevišķās sesijās kopā 24 (divdesmit četru) stundu periodā."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likumu ar 53.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53.</w:t>
      </w:r>
      <w:r w:rsidR="00000000" w:rsidRPr="00000000" w:rsidDel="00000000">
        <w:rPr>
          <w:b w:val="1"/>
          <w:vertAlign w:val="superscript"/>
          <w:rtl w:val="0"/>
        </w:rPr>
        <w:t xml:space="preserve">1</w:t>
      </w:r>
      <w:r w:rsidR="00000000" w:rsidRPr="00000000" w:rsidDel="00000000">
        <w:rPr>
          <w:b w:val="1"/>
          <w:rtl w:val="0"/>
        </w:rPr>
        <w:t xml:space="preserve"> pants. Interaktīvo azartspēļu organizēšanai izmantojamo informācijas komunikāciju tehnoloģiju un informācijas sistēmu ekspluatācija</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Interaktīvās azartspēles drīkst organizēt, ja dati no interaktīvo azartspēļu organizēšanas sistēmas tiek automatizēti nodoti vienotajā izložu un azartspēļu uzraudzības informācijas sistēmā, nodrošinot tiešsaistes datu apmaiņu ar Izložu un azartspēļu uzraudzības inspekciju. Prasības attiecībā uz interaktīvo azartspēļu organizēšanas sistēmu pieslēgšanu vienotajai izložu un azartspēļu uzraudzības informācijas sistēmai, kā arī minētajā sistēmā iekļaujamos datus un datu apmaiņas kārtību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Izteikt 54. pantu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54. pants. Personas aizsardzība interaktīvajās azartspēlēs</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spēlētāju reģistrācijas un identitātes pārbaudes kārtību, spēlētāja konta izveides kārtību, kā arī minimālās prasības, kas jāievēro, lai novērstu riskantai interaktīvo azartspēļu spēlēšanai pakļauto spēlētāju turpmāku dalību azartspēlēs."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Interaktīvo azartspēļu spēlētāju reģistra mērķis ir noteikt spēlētāju identitāti, nepieļaut to personu dalību interaktīvajās azartspēlēs, kuras nav sasniegušas 21 gada vecumu, un novērst riskantai interaktīvo azartspēļu spēlēšanai pakļauto spēlētāju turpmāku dalību interaktīvajās azartspēlēs, nodrošinot šā likuma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1. punktu šādā redakcijā:</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vārds, uzvārds, personas kods (ja personas koda nav, – personu apliecinoša dokumenta nosaukums, numurs, izdošanas datums un izdevējiestādes nosaukums) un dzimšanas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Šā panta ceturtajā un sestajā daļā minēto informāciju interaktīvo azartspēļu organizētājs apkopo un reizi mēnesī iesniedz Izložu un azartspēļu uzraudzības inspekcijai, kas nodrošina šīs informācijas glabāšanu piecus gadus."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Papildināt 68. pantu ar piekto, sesto, septīto un astoto daļu šādā redakcijā: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Valsts akciju sabiedrībai "Latvijas Loto", organizējot valsts mēroga izlozes, ir pienākums sertificēties atbilstoši Eiropas Loteriju asociācijas Atbildīgas spēles standartam. Valsts akciju sabiedrība "Latvijas Loto" informē Izložu un azartspēļu uzraudzības inspekciju par sertifikāta atjaunošanu. Izložu un azartspēļu uzraudzības inspekcija uzrauga valsts akciju sabiedrībai "Latvijas Loto" izsniegtā sertifikāta darbības nepārtrauktību.</w:t>
      </w:r>
    </w:p>
    <w:p w:rsidP="00000000" w:rsidRDefault="00000000" w:rsidR="00000000" w:rsidRPr="00000000" w:rsidDel="00000000">
      <w:pPr>
        <w:numPr>
          <w:ilvl w:val="0"/>
          <w:numId w:val="3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Izlozē atļauts piedalīties personām, kuras sasniegušas 18 gadu vecumu. Pirms izlozes biļešu pārdošanas izlozes biļešu tirdzniecības vietas darbiniekam ir pienākums pārliecināties par personas vecumu un pieprasīt, lai persona uzrāda personu apliecinošu dokumentu. Pēc izlozes biļešu tirdzniecības vietas darbinieka pieprasījuma personai ir pienākums apliecināt savu vecumu, uzrādot personu apliecinošu dokumentu.</w:t>
      </w:r>
    </w:p>
    <w:p w:rsidP="00000000" w:rsidRDefault="00000000" w:rsidR="00000000" w:rsidRPr="00000000" w:rsidDel="00000000">
      <w:pPr>
        <w:numPr>
          <w:ilvl w:val="0"/>
          <w:numId w:val="3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Izlozes laimestu atļauts saņemt personām, kuras sasniegušas 18 gadu vecumu. Pirms laimesta izsniegšanas laimesta izsniedzējam ir pienākums pārliecināties par personas vecumu un pieprasīt, lai persona uzrāda personu apliecinošu dokumentu. Pēc laimesta izsniedzēja pieprasījuma personai ir pienākums apliecināt savu vecumu, uzrādot personu apliecinošu dokumentu.</w:t>
      </w:r>
    </w:p>
    <w:p w:rsidP="00000000" w:rsidRDefault="00000000" w:rsidR="00000000" w:rsidRPr="00000000" w:rsidDel="00000000">
      <w:pPr>
        <w:numPr>
          <w:ilvl w:val="0"/>
          <w:numId w:val="3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izlozes biļešu tirdzniecība tiek nodrošināta internetā, izlozes organizētājam pirms izlozes biļešu pārdošanas ir pienākums pārliecināties, vai persona ir sasniegusi 18 gadu vecumu."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69.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Izlozes biļešu tirdzniecības vietās jābūt pieejamai Izložu un azartspēļu uzraudzības inspekcijā apstiprināto attiecīgās izlozes noteikumu aktuālajai redakcijai, un izlozes organizētājs ir atbildīgs par to, lai izlozes dalībnieks pēc viņa pieprasījuma tiek iepazīstināts ar šiem noteikumiem.</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Izlozes noteikumos norādāma šāda informācija:</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izlozes organizētāja nosaukums, juridiskā adrese un tālruņa numurs;</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izlozes nosaukums un veids;</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kārtība, kādā dalībnieks var piedalīties izlozē;</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izlozes biļetes cena vai dalības maksa;</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momentloterijas kopējais izlozes biļešu skaits;</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laimestu fonds, tā sadalījums pa laimestu grupām;</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laimējušo biļešu noteikšanas kārtība;</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kārtība, kādā notiek pieteikšanās uz laimestu un kādā to izsniedz;</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termiņš, līdz kuram skaitļu izlozes dalībnieks var pieteikties uz laimestu;</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izlozes organizēšanas biežums, norādot, vai izloze ir vienreizēja vai periodiska;</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izlozes datums vai nedēļas diena, laiks un vieta (izņemot licencētas valsts mēroga momentloterijas);</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izloze tiks pārraidīta, – informācija par izlozes pārraidi, izmantojot elektroniskos plašsaziņas līdzekļus, vai informācija par izlozes tiešraidi vai tās ierakstu;</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izlozes rezultātu pieejamība, izlozes rezultātus publiskojot tīmekļvietnēs vai izlozes biļešu tirdzniecības vietās (izņemot licencētas valsts mēroga momentloterijas);</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vai laimējušo skaitļu izlozi veic par izlozi atbildīgā persona vai izlozes komisija, vai par izlozi atbildīgās personas vai izlozes komisijas klātbūtnē, ja izlozē izmanto attiecīgai izlozei piemērotu iekārtu vai datu apstrādes sistēmu;</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kur dalībnieks var vērsties pretenziju gadījumā, kā arī pretenziju izskatīšanas kārtība;</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cita informācija, kuru izlozes organizētājs uzskata par nepieciešamu.";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Izlozes organizētājs sagatavotos izložu noteikumus iesniedz vienotajā izložu un azartspēļu uzraudzības informācijas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Papildināt 76. pantu ar ceturto daļu šādā redakcijā:</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Interaktīvās izlozes organizētājs sagatavotos interaktīvo izložu noteikumus iesniedz vienotajā izložu un azartspēļu uzraudzības informācijas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Interaktīvo izložu spēlētāju reģistra mērķis ir noteikt spēlētāju identitāti, nepieļaut to personu dalību interaktīvajās izlozēs, kuras nav sasniegušas 18 gadu vecumu, un novērst riskantai interaktīvo izložu spēlēšanai pakļauto spēlētāju turpmāku dalību interaktīvajās izlozēs, nodrošinot šā likuma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Šā panta ceturtajā daļā minēto informāciju un informāciju par dalībai interaktīvajās izlozēs spēlētāju veiktajiem maksājumiem un interaktīvajās izlozēs spēlētājiem izmaksātajiem laimestiem interaktīvo izložu organizētājs apkopo un reizi mēnesī iesniedz Izložu un azartspēļu uzraudzības inspekcijā, kas nodrošina šīs informācijas glabāšanu piecus gadus."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Papildināt likumu ar 79.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79.</w:t>
      </w:r>
      <w:r w:rsidR="00000000" w:rsidRPr="00000000" w:rsidDel="00000000">
        <w:rPr>
          <w:b w:val="1"/>
          <w:vertAlign w:val="superscript"/>
          <w:rtl w:val="0"/>
        </w:rPr>
        <w:t xml:space="preserve">2</w:t>
      </w:r>
      <w:r w:rsidR="00000000" w:rsidRPr="00000000" w:rsidDel="00000000">
        <w:rPr>
          <w:b w:val="1"/>
          <w:rtl w:val="0"/>
        </w:rPr>
        <w:t xml:space="preserve"> pants. Risku uzraudzības un kontroles sistēma interaktīvajām izlozēm</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Risku uzraudzības un kontroles sistēmas mērķis ir aizsargāt spēlētāju no interaktīvo izložu atkarības izveidošanās riska un nepieļaut tādu personu spēlēšanu, par kurām ir aizdomas, ka tām pastāv interaktīvo izložu atkarību izveidošanās risks. Interaktīvo izložu organizētājs izveido risku uzraudzības un kontroles sistēmu.</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Risku uzraudzības un kontroles sistēmas ietvaros interaktīvo izložu organizētājs veic to interaktīvo izložu spēlētāja paradumu monitoringu, kas ir saistīti vai var liecināt par to, ka personai ir vai var veidoties interaktīvo izložu atkarība.</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Lai veiktu paradumu monitoringu, interaktīvo izložu organizētājs apstrādā šādus spēlētāja datus:</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identifikācijas dati;</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bankas konta numurs;</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likmju limiti;</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spēles kontā veiktās darbības.</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Izložu un azartspēļu uzraudzības inspekcija uzrauga šā panta otrajā daļā minētās sistēmas darbību un interaktīvo izložu organizētāja rīcību spēlētājam piemītošas interaktīvo izložu atkarības izveidošanās riska identificēšanas gadījumā.</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Interaktīvo izložu organizētājs nodrošina Izložu un azartspēļu uzraudzības inspekcijas amatpersonām piekļuvi nepersonalizētiem datiem par veikto interaktīvo izložu spēlēšanas paradumu monitoringu, lai veiktu kontroli un pārbaudītu, kā interaktīvo izložu organizētāji pilda šajā likumā un citos normatīvajos aktos noteiktos pienākumus aizsargāt spēlētāju no interaktīvo izložu atkarības izveidošanās riska.</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Risku uzraudzības un kontroles sistēmā iegūtos personas datus, kurus interaktīvo izložu organizētājs apstrādā saskaņā ar šā panta trešo daļu, liegts nodot citām personām.</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risku uzraudzības un kontroles sistēmas izveides kārtību, kā arī kārtību, kādā, izmantojot sistēmu, tiek novērtēti, dokumentēti un pārskatīti spēlētāja spēlēšanas paradumi un riski;</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pienākumu interaktīvo izložu organizētājam novērtēt riskus un piemērot identificētajam riskam atbilstošus pasākumus, lai ierobežotu spēlētāja dalību spēlē;</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Izložu un azartspēļu uzraudzības inspekcijas uzraudzības īstenošanas kārtību;</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sniedzamās informācijas saturu, apjomu, glabāšanu un dzēšanas kārtību.</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Risku uzraudzības un kontroles sistēmā iekļautā informācija glabājama elektroniskā veidā divus gadus, nepieļaujot šīs informācijas nozaudēšanu vai bojāšanu, nesankcionētu nonākšanu trešo personu rīcībā un ieviešot informācijas tehnoloģiju risinājumus, kas informācijas nozaudēšanas gadījumā ļauj to atjaunot pilnā apjomā."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80.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punkta otro teikumu šādā redakcijā:</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spēlētāju reģistrācijas un identitātes pārbaudes kārtību, kā arī minimālās prasības, kas jāievēro, lai novērstu riskantai interaktīvo izložu spēlēšanai pakļauto spēlētāju turpmāku dalību interaktīvajās izlozēs.";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"reģistrētās kredītiestādēs" ar vārdiem "licencētā kredītiestādē, maksājumu iestādē vai elektroniskās naudas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Šā likuma 4. panta ceturtajā daļā minētās institūcijas pienākumus un interaktīvās izlozes organizēšanai izmantoto informāciju, kas iekļaujama interaktīvo izložu programmas atbilstības pārskatā,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Interaktīvās izlozes organizētājs 15 dienu laikā pēc pārskata ceturkšņa beigām Ministru kabineta noteiktajā kārtībā iesniedz Izložu un azartspēļu uzraudzības inspekcijai paziņojumu par pārskata ceturksnī pārdotajām biļetēm un izmaksāto laimestu kopsummu."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82.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6. punktā vārdus "vienotās azartspēļu automātu kontroles un uzraudzības sistēmas" ar vārdiem "vienotās izložu un azartspēļu uzraudzības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12., 13., 14. un 15. punktu šādā redakcijā:</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"12) uzraudzīt risku uzraudzības un kontroles sistēmas darbību un azartspēļu organizētāja rīcību spēlētājam piemītošas nekontrolētas un pārmērīgas spēlēšanas risku identificēšanas gadījumā;</w:t>
      </w:r>
    </w:p>
    <w:p w:rsidP="00000000" w:rsidRDefault="00000000" w:rsidR="00000000" w:rsidRPr="00000000" w:rsidDel="00000000">
      <w:pPr>
        <w:numPr>
          <w:ilvl w:val="0"/>
          <w:numId w:val="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veikt azartspēļu organizētāja spēlētāju monitoringa informācijas apkopojumu un analīzi par sadarbības programmas dalībniekiem;</w:t>
      </w:r>
    </w:p>
    <w:p w:rsidP="00000000" w:rsidRDefault="00000000" w:rsidR="00000000" w:rsidRPr="00000000" w:rsidDel="00000000">
      <w:pPr>
        <w:numPr>
          <w:ilvl w:val="0"/>
          <w:numId w:val="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uzraudzīt reklāmu azartspēļu jomā;</w:t>
      </w:r>
    </w:p>
    <w:p w:rsidP="00000000" w:rsidRDefault="00000000" w:rsidR="00000000" w:rsidRPr="00000000" w:rsidDel="00000000">
      <w:pPr>
        <w:numPr>
          <w:ilvl w:val="0"/>
          <w:numId w:val="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uzraudzīt reklāmu izložu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Papildināt likumu ar 82.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82.</w:t>
      </w:r>
      <w:r w:rsidR="00000000" w:rsidRPr="00000000" w:rsidDel="00000000">
        <w:rPr>
          <w:b w:val="1"/>
          <w:vertAlign w:val="superscript"/>
          <w:rtl w:val="0"/>
        </w:rPr>
        <w:t xml:space="preserve">1</w:t>
      </w:r>
      <w:r w:rsidR="00000000" w:rsidRPr="00000000" w:rsidDel="00000000">
        <w:rPr>
          <w:b w:val="1"/>
          <w:rtl w:val="0"/>
        </w:rPr>
        <w:t xml:space="preserve"> pants. Azartspēļu un izložu reklāmas izvietošanas uzraudzība elektroniskajos plašsaziņas līdzekļos</w:t>
      </w:r>
    </w:p>
    <w:p w:rsidP="00000000" w:rsidRDefault="00000000" w:rsidR="00000000" w:rsidRPr="00000000" w:rsidDel="00000000">
      <w:pPr>
        <w:numPr>
          <w:ilvl w:val="0"/>
          <w:numId w:val="4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Azartspēļu un izložu reklāmas izvietošanas uzraudzību elektroniskajos plašsaziņas līdzekļos veic Nacionālā elektronisko plašsaziņas līdzekļu padome."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31.</w:t>
      </w:r>
      <w:r w:rsidR="00000000" w:rsidRPr="00000000" w:rsidDel="00000000">
        <w:rPr>
          <w:rtl w:val="0"/>
        </w:rPr>
        <w:t xml:space="preserve"> </w:t>
      </w:r>
      <w:r w:rsidR="00000000" w:rsidRPr="00000000" w:rsidDel="00000000">
        <w:rPr>
          <w:rtl w:val="0"/>
        </w:rPr>
        <w:t xml:space="preserve">Aizstāt 86. panta otrajā daļā vārdus "vienotās azartspēļu automātu kontroles un uzraudzības sistēmā" ar vārdiem "vienotās izložu un azartspēļu uzraudzības informācijas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32.</w:t>
      </w:r>
      <w:r w:rsidR="00000000" w:rsidRPr="00000000" w:rsidDel="00000000">
        <w:rPr>
          <w:rtl w:val="0"/>
        </w:rPr>
        <w:t xml:space="preserve"> </w:t>
      </w:r>
      <w:r w:rsidR="00000000" w:rsidRPr="00000000" w:rsidDel="00000000">
        <w:rPr>
          <w:rtl w:val="0"/>
        </w:rPr>
        <w:t xml:space="preserve">89.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Par azartspēļu organizētāja sagatavoto un vienotajā izložu un azartspēļu uzraudzības informācijas sistēmā iesniegto azartspēļu noteikumu pieejamības nenodrošināšanu piemēro naudas sodu juridiskai personai divsimt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 interaktīvo izložu organizētāja sagatavoto un vienotajā izložu un azartspēļu uzraudzības informācijas sistēmā iesniegto interaktīvo izložu noteikumu un izložu organizētāja sagatavoto un Izložu un azartspēļu uzraudzības inspekcijā apstiprināto izložu noteikumu pieejamības nenodrošināšanu piemēro naudas sodu juridiskai personai divsimt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izlozes biļešu pārdošanu vai laimesta izsniegšanu personai, kura ir jaunāka par 18 gadiem, piemēro naudas sodu juridiskai personai no simt četrdesmit līdz septiņsimt naudas soda vienībām.</w:t>
      </w:r>
    </w:p>
    <w:p w:rsidP="00000000" w:rsidRDefault="00000000" w:rsidR="00000000" w:rsidRPr="00000000" w:rsidDel="00000000">
      <w:pPr>
        <w:numPr>
          <w:ilvl w:val="0"/>
          <w:numId w:val="4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Par pieļaušanu, ka nepilngadīga persona piedalās interaktīvo izložu organizētāja piedāvātajās interaktīvajās izlozēs, piemēro naudas sodu juridiskai personai no septiņsimt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vārdus "nepilngadīgas personas" ar vārdiem un skaitli "personas, kura nav sasniegusi 21 gada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Par normatīvajos aktos noteikto prasību neievērošanu, lai novērstu riskantai azartspēļu vai interaktīvo izložu spēlēšanai pakļauto spēlētāju dalību azartspēlēs vai interaktīvajās izlozēs, piemēro naudas sodu juridiskai personai tūkstoš četrsimt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Par azartspēļu organizēšanu ārpus šajā likumā noteiktā laika un interaktīvo azartspēļu organizēšanu ilgāk par 21 (divdesmit vienu) stundu vienā nepārtrauktā vai vairākās atsevišķās sesijās kopā 24 (divdesmit četru) stundu periodā piemēro naudas sodu juridiskai personai no tūkstoš piecsimt līdz trīstūkstoš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15. daļu šādā redakcijā:</w:t>
      </w:r>
    </w:p>
    <w:p w:rsidP="00000000" w:rsidRDefault="00000000" w:rsidR="00000000" w:rsidRPr="00000000" w:rsidDel="00000000">
      <w:pPr>
        <w:numPr>
          <w:ilvl w:val="0"/>
          <w:numId w:val="4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"(15) Par ēdināšanas pakalpojumu piedāvāšanu vai sniegšanu vai pārtikas tirdzniecības pieļaušanu tiešā spēļu automātu, kāršu, kauliņu un ruletes spēļu galdu vai citu azartspēļu iekārtu tuvumā piemēro naudas sodu juridiskai personai no piecdesmit līdz simt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33.</w:t>
      </w:r>
      <w:r w:rsidR="00000000" w:rsidRPr="00000000" w:rsidDel="00000000">
        <w:rPr>
          <w:rtl w:val="0"/>
        </w:rPr>
        <w:t xml:space="preserve"> </w:t>
      </w:r>
      <w:r w:rsidR="00000000" w:rsidRPr="00000000" w:rsidDel="00000000">
        <w:rPr>
          <w:rtl w:val="0"/>
        </w:rPr>
        <w:t xml:space="preserve">Papildināt pārejas noteikumus ar 32., 33., 34., 35., 36., 37., 38., 39. un 40. punktu šādā redakcijā:</w:t>
      </w:r>
    </w:p>
    <w:p w:rsidP="00000000" w:rsidRDefault="00000000" w:rsidR="00000000" w:rsidRPr="00000000" w:rsidDel="00000000">
      <w:pPr>
        <w:numPr>
          <w:ilvl w:val="0"/>
          <w:numId w:val="5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"32. Šā likuma 4.</w:t>
      </w:r>
      <w:r w:rsidR="00000000" w:rsidRPr="00000000" w:rsidDel="00000000">
        <w:rPr>
          <w:vertAlign w:val="superscript"/>
          <w:rtl w:val="0"/>
        </w:rPr>
        <w:t xml:space="preserve">1</w:t>
      </w:r>
      <w:r w:rsidR="00000000" w:rsidRPr="00000000" w:rsidDel="00000000">
        <w:rPr>
          <w:rtl w:val="0"/>
        </w:rPr>
        <w:t xml:space="preserve"> panta nosacījumi attiecībā uz fiziskās personas tiesībām noteikt sev liegumu arī citās Eiropas Savienības dalībvalstīs spēlēt azartspēles, tai skaitā interaktīvās azartspēles, un piedalīties interaktīvajās izlozēs, un tikt iekļautai attiecīgās valsts pašatteikušos personu reģistrā stājas spēkā nākamajā dienā pēc tam, kad oficiālajā izdevumā "Latvijas Vēstnesis" tiek publicēts paziņojums par starptautiskā līguma noslēgšanu starp Latvijas Republiku un Eiropas Savienības dalībvalsti vai dalībvalstīm.</w:t>
      </w:r>
    </w:p>
    <w:p w:rsidP="00000000" w:rsidRDefault="00000000" w:rsidR="00000000" w:rsidRPr="00000000" w:rsidDel="00000000">
      <w:pPr>
        <w:numPr>
          <w:ilvl w:val="0"/>
          <w:numId w:val="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Izložu un azartspēļu uzraudzības inspekcija līdz šā likuma 4.</w:t>
      </w:r>
      <w:r w:rsidR="00000000" w:rsidRPr="00000000" w:rsidDel="00000000">
        <w:rPr>
          <w:vertAlign w:val="superscript"/>
          <w:rtl w:val="0"/>
        </w:rPr>
        <w:t xml:space="preserve">1</w:t>
      </w:r>
      <w:r w:rsidR="00000000" w:rsidRPr="00000000" w:rsidDel="00000000">
        <w:rPr>
          <w:rtl w:val="0"/>
        </w:rPr>
        <w:t xml:space="preserve"> panta grozījumu spēkā stāšanās dienai attiecībā uz vienotā citu Eiropas Savienības dalībvalstu pašatteikušos personu reģistra izveidi nodrošina tehniskā risinājuma ieviešanu, lai datus par citu Eiropas Savienības dalībvalstu pašatteikušos personu reģistrā iekļautajām fiziskajām personām iekļautu Latvijas Republikas pašatteikušos personu reģistrā.</w:t>
      </w:r>
    </w:p>
    <w:p w:rsidP="00000000" w:rsidRDefault="00000000" w:rsidR="00000000" w:rsidRPr="00000000" w:rsidDel="00000000">
      <w:pPr>
        <w:numPr>
          <w:ilvl w:val="0"/>
          <w:numId w:val="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Fiziskās personas, kuras līdz šā likuma 4.</w:t>
      </w:r>
      <w:r w:rsidR="00000000" w:rsidRPr="00000000" w:rsidDel="00000000">
        <w:rPr>
          <w:vertAlign w:val="superscript"/>
          <w:rtl w:val="0"/>
        </w:rPr>
        <w:t xml:space="preserve">1</w:t>
      </w:r>
      <w:r w:rsidR="00000000" w:rsidRPr="00000000" w:rsidDel="00000000">
        <w:rPr>
          <w:rtl w:val="0"/>
        </w:rPr>
        <w:t xml:space="preserve"> panta 5.</w:t>
      </w:r>
      <w:r w:rsidR="00000000" w:rsidRPr="00000000" w:rsidDel="00000000">
        <w:rPr>
          <w:vertAlign w:val="superscript"/>
          <w:rtl w:val="0"/>
        </w:rPr>
        <w:t xml:space="preserve">1</w:t>
      </w:r>
      <w:r w:rsidR="00000000" w:rsidRPr="00000000" w:rsidDel="00000000">
        <w:rPr>
          <w:rtl w:val="0"/>
        </w:rPr>
        <w:t xml:space="preserve"> daļā minētā tehniskā risinājuma ieviešanas dienai ir iekļautas pašatteikušos personu reģistrā, ir tiesīgas noteikt liegumu piedalīties interaktīvajās azartspēlēs vai interaktīvajās izlozēs un tikt iekļautām arī citu Eiropas Savienības dalībvalstu pašatteikušos personu reģistrā, ar kurām Latvijas Republikai ir noslēgts starptautiskais līgums par informācijas apmaiņu ar attiecīgo valstu pašatteikušos personu reģistriem.</w:t>
      </w:r>
    </w:p>
    <w:p w:rsidP="00000000" w:rsidRDefault="00000000" w:rsidR="00000000" w:rsidRPr="00000000" w:rsidDel="00000000">
      <w:pPr>
        <w:numPr>
          <w:ilvl w:val="0"/>
          <w:numId w:val="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Grozījumi šā likuma 22. panta pirmajā daļā attiecībā uz spēļu automātu skaita izmaiņām spēļu zālēs uzstādītiem un ekspluatētiem spēļu automātiem stājas spēkā 2025. gada 1. janvārī.</w:t>
      </w:r>
    </w:p>
    <w:p w:rsidP="00000000" w:rsidRDefault="00000000" w:rsidR="00000000" w:rsidRPr="00000000" w:rsidDel="00000000">
      <w:pPr>
        <w:numPr>
          <w:ilvl w:val="0"/>
          <w:numId w:val="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Azartspēļu, interaktīvo azartspēļu un interaktīvo izložu organizētājiem šā likuma 36. panta astotajā daļā, 36.</w:t>
      </w:r>
      <w:r w:rsidR="00000000" w:rsidRPr="00000000" w:rsidDel="00000000">
        <w:rPr>
          <w:vertAlign w:val="superscript"/>
          <w:rtl w:val="0"/>
        </w:rPr>
        <w:t xml:space="preserve">1</w:t>
      </w:r>
      <w:r w:rsidR="00000000" w:rsidRPr="00000000" w:rsidDel="00000000">
        <w:rPr>
          <w:rtl w:val="0"/>
        </w:rPr>
        <w:t xml:space="preserve"> un 79.</w:t>
      </w:r>
      <w:r w:rsidR="00000000" w:rsidRPr="00000000" w:rsidDel="00000000">
        <w:rPr>
          <w:vertAlign w:val="superscript"/>
          <w:rtl w:val="0"/>
        </w:rPr>
        <w:t xml:space="preserve">2</w:t>
      </w:r>
      <w:r w:rsidR="00000000" w:rsidRPr="00000000" w:rsidDel="00000000">
        <w:rPr>
          <w:rtl w:val="0"/>
        </w:rPr>
        <w:t xml:space="preserve"> pantā minētās prasības jāievieš līdz 2025. gada 1. janvārim. Ja azartspēļu vai interaktīvo azartspēļu organizētājs ievieš šā likuma 36. panta astotajā daļā, 36.</w:t>
      </w:r>
      <w:r w:rsidR="00000000" w:rsidRPr="00000000" w:rsidDel="00000000">
        <w:rPr>
          <w:vertAlign w:val="superscript"/>
          <w:rtl w:val="0"/>
        </w:rPr>
        <w:t xml:space="preserve">1</w:t>
      </w:r>
      <w:r w:rsidR="00000000" w:rsidRPr="00000000" w:rsidDel="00000000">
        <w:rPr>
          <w:rtl w:val="0"/>
        </w:rPr>
        <w:t xml:space="preserve"> un 79.</w:t>
      </w:r>
      <w:r w:rsidR="00000000" w:rsidRPr="00000000" w:rsidDel="00000000">
        <w:rPr>
          <w:vertAlign w:val="superscript"/>
          <w:rtl w:val="0"/>
        </w:rPr>
        <w:t xml:space="preserve">2</w:t>
      </w:r>
      <w:r w:rsidR="00000000" w:rsidRPr="00000000" w:rsidDel="00000000">
        <w:rPr>
          <w:rtl w:val="0"/>
        </w:rPr>
        <w:t xml:space="preserve"> pantā minētās prasības pirms noteiktā termiņa, attiecīgais azartspēļu vai interaktīvo azartspēļu organizētājs spēlētājiem var piedāvāt dalību sadarbības programmā un totalizatora vai derību organizētājs var veikt šā likuma 41. panta piektajā daļā noteiktās darbības.</w:t>
      </w:r>
    </w:p>
    <w:p w:rsidP="00000000" w:rsidRDefault="00000000" w:rsidR="00000000" w:rsidRPr="00000000" w:rsidDel="00000000">
      <w:pPr>
        <w:numPr>
          <w:ilvl w:val="0"/>
          <w:numId w:val="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Grozījumi šā likuma 37. panta pirmās daļas 3. un 4. punktā, 38. panta 1. punktā, 41. panta pirmās daļas 6. punktā, 53. panta otrās daļas 4. punktā un 89. panta astotajā daļā attiecībā uz vecuma ierobežojuma palielināšanu azartspēlēs un interaktīvajās azartspēlēs stājas spēkā 2024. gada 1. novembrī.</w:t>
      </w:r>
    </w:p>
    <w:p w:rsidP="00000000" w:rsidRDefault="00000000" w:rsidR="00000000" w:rsidRPr="00000000" w:rsidDel="00000000">
      <w:pPr>
        <w:numPr>
          <w:ilvl w:val="0"/>
          <w:numId w:val="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Šā likuma 54.</w:t>
      </w:r>
      <w:r w:rsidR="00000000" w:rsidRPr="00000000" w:rsidDel="00000000">
        <w:rPr>
          <w:vertAlign w:val="superscript"/>
          <w:rtl w:val="0"/>
        </w:rPr>
        <w:t xml:space="preserve">1</w:t>
      </w:r>
      <w:r w:rsidR="00000000" w:rsidRPr="00000000" w:rsidDel="00000000">
        <w:rPr>
          <w:rtl w:val="0"/>
        </w:rPr>
        <w:t xml:space="preserve"> panta pirmā daļa, kas nosaka vecuma ierobežojuma palielināšanu azartspēlēs un interaktīvajās azartspēlēs, stājas spēkā 2024. gada 1. novembrī.</w:t>
      </w:r>
    </w:p>
    <w:p w:rsidP="00000000" w:rsidRDefault="00000000" w:rsidR="00000000" w:rsidRPr="00000000" w:rsidDel="00000000">
      <w:pPr>
        <w:numPr>
          <w:ilvl w:val="0"/>
          <w:numId w:val="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Šā likuma 68. panta sestā, septītā un astotā daļa stājas spēkā 2024. gada 1. novembrī.</w:t>
      </w:r>
    </w:p>
    <w:p w:rsidP="00000000" w:rsidRDefault="00000000" w:rsidR="00000000" w:rsidRPr="00000000" w:rsidDel="00000000">
      <w:pPr>
        <w:numPr>
          <w:ilvl w:val="0"/>
          <w:numId w:val="5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Ministru kabinets līdz 2025. gada 1. novembrim izvērtē azartspēļu un interaktīvo azartspēļu reklāmas ierobežojumu un, ja nepieciešams, sniedz priekšlikumus turpmākajam azartspēļu un interaktīvo azartspēļu reklāmas regulējumam."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23-TA-890</w:t>
    </w:r>
    <w:r>
      <w:br/>
    </w:r>
    <w:r w:rsidR="00000000" w:rsidRPr="00000000" w:rsidDel="00000000">
      <w:rPr>
        <w:rtl w:val="0"/>
      </w:rPr>
      <w:t xml:space="preserve">Izdrukāts 29.07.2026. 21.37 - 2.0.VK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23-TA-890</w:t>
    </w:r>
    <w:r>
      <w:br/>
    </w:r>
    <w:r w:rsidR="00000000" w:rsidRPr="00000000" w:rsidDel="00000000">
      <w:rPr>
        <w:rtl w:val="0"/>
      </w:rPr>
      <w:t xml:space="preserve">Izdrukāts 29.07.2026. 21.37 - 2.0.VK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abstractNum>
  <w:abstractNum w:abstractNumId="40">
    <w:multiLevelType w:val="hybridMultilevel"/>
    <w:lvl w:ilvl="0">
      <w:start w:val="1"/>
      <w:numFmt w:val="bullet"/>
      <w:lvlRestart w:val="1"/>
      <w:lvlText w:val=""/>
      <w:lvlJc w:val="left"/>
      <w:pPr>
        <w:ind w:left="0" w:firstLine="705"/>
      </w:pPr>
      <w:rPr>
        <w:u w:val="none"/>
      </w:rPr>
    </w:lvl>
  </w:abstractNum>
  <w:abstractNum w:abstractNumId="41">
    <w:multiLevelType w:val="hybridMultilevel"/>
    <w:lvl w:ilvl="0">
      <w:start w:val="1"/>
      <w:numFmt w:val="bullet"/>
      <w:lvlRestart w:val="1"/>
      <w:lvlText w:val=""/>
      <w:lvlJc w:val="left"/>
      <w:pPr>
        <w:ind w:left="0" w:firstLine="705"/>
      </w:pPr>
      <w:rPr>
        <w:u w:val="none"/>
      </w:rPr>
    </w:lvl>
  </w:abstractNum>
  <w:abstractNum w:abstractNumId="42">
    <w:multiLevelType w:val="hybridMultilevel"/>
    <w:lvl w:ilvl="0">
      <w:start w:val="1"/>
      <w:numFmt w:val="bullet"/>
      <w:lvlRestart w:val="1"/>
      <w:lvlText w:val=""/>
      <w:lvlJc w:val="left"/>
      <w:pPr>
        <w:ind w:left="0" w:firstLine="705"/>
      </w:pPr>
      <w:rPr>
        <w:u w:val="none"/>
      </w:rPr>
    </w:lvl>
  </w:abstractNum>
  <w:abstractNum w:abstractNumId="43">
    <w:multiLevelType w:val="hybridMultilevel"/>
    <w:lvl w:ilvl="0">
      <w:start w:val="1"/>
      <w:numFmt w:val="bullet"/>
      <w:lvlRestart w:val="1"/>
      <w:lvlText w:val=""/>
      <w:lvlJc w:val="left"/>
      <w:pPr>
        <w:ind w:left="0" w:firstLine="705"/>
      </w:pPr>
      <w:rPr>
        <w:u w:val="none"/>
      </w:rPr>
    </w:lvl>
  </w:abstractNum>
  <w:abstractNum w:abstractNumId="44">
    <w:multiLevelType w:val="hybridMultilevel"/>
    <w:lvl w:ilvl="0">
      <w:start w:val="1"/>
      <w:numFmt w:val="bullet"/>
      <w:lvlRestart w:val="1"/>
      <w:lvlText w:val=""/>
      <w:lvlJc w:val="left"/>
      <w:pPr>
        <w:ind w:left="0" w:firstLine="705"/>
      </w:pPr>
      <w:rPr>
        <w:u w:val="none"/>
      </w:rPr>
    </w:lvl>
  </w:abstractNum>
  <w:abstractNum w:abstractNumId="45">
    <w:multiLevelType w:val="hybridMultilevel"/>
    <w:lvl w:ilvl="0">
      <w:start w:val="1"/>
      <w:numFmt w:val="bullet"/>
      <w:lvlRestart w:val="1"/>
      <w:lvlText w:val=""/>
      <w:lvlJc w:val="left"/>
      <w:pPr>
        <w:ind w:left="0" w:firstLine="705"/>
      </w:pPr>
      <w:rPr>
        <w:u w:val="none"/>
      </w:rPr>
    </w:lvl>
  </w:abstractNum>
  <w:abstractNum w:abstractNumId="46">
    <w:multiLevelType w:val="hybridMultilevel"/>
    <w:lvl w:ilvl="0">
      <w:start w:val="1"/>
      <w:numFmt w:val="bullet"/>
      <w:lvlRestart w:val="1"/>
      <w:lvlText w:val=""/>
      <w:lvlJc w:val="left"/>
      <w:pPr>
        <w:ind w:left="0" w:firstLine="705"/>
      </w:pPr>
      <w:rPr>
        <w:u w:val="none"/>
      </w:rPr>
    </w:lvl>
  </w:abstractNum>
  <w:abstractNum w:abstractNumId="47">
    <w:multiLevelType w:val="hybridMultilevel"/>
    <w:lvl w:ilvl="0">
      <w:start w:val="1"/>
      <w:numFmt w:val="bullet"/>
      <w:lvlRestart w:val="1"/>
      <w:lvlText w:val=""/>
      <w:lvlJc w:val="left"/>
      <w:pPr>
        <w:ind w:left="0" w:firstLine="705"/>
      </w:pPr>
      <w:rPr>
        <w:u w:val="none"/>
      </w:rPr>
    </w:lvl>
  </w:abstractNum>
  <w:abstractNum w:abstractNumId="48">
    <w:multiLevelType w:val="hybridMultilevel"/>
    <w:lvl w:ilvl="0">
      <w:start w:val="1"/>
      <w:numFmt w:val="bullet"/>
      <w:lvlRestart w:val="1"/>
      <w:lvlText w:val=""/>
      <w:lvlJc w:val="left"/>
      <w:pPr>
        <w:ind w:left="0" w:firstLine="705"/>
      </w:pPr>
      <w:rPr>
        <w:u w:val="none"/>
      </w:rPr>
    </w:lvl>
  </w:abstractNum>
  <w:abstractNum w:abstractNumId="49">
    <w:multiLevelType w:val="hybridMultilevel"/>
    <w:lvl w:ilvl="0">
      <w:start w:val="1"/>
      <w:numFmt w:val="bullet"/>
      <w:lvlRestart w:val="1"/>
      <w:lvlText w:val=""/>
      <w:lvlJc w:val="left"/>
      <w:pPr>
        <w:ind w:left="0" w:firstLine="705"/>
      </w:pPr>
      <w:rPr>
        <w:u w:val="none"/>
      </w:rPr>
    </w:lvl>
  </w:abstractNum>
  <w:abstractNum w:abstractNumId="5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likumprojekts_(grozījumi)_23-TA-890.docx</dc:title>
</cp:coreProperties>
</file>

<file path=docProps/custom.xml><?xml version="1.0" encoding="utf-8"?>
<Properties xmlns="http://schemas.openxmlformats.org/officeDocument/2006/custom-properties" xmlns:vt="http://schemas.openxmlformats.org/officeDocument/2006/docPropsVTypes"/>
</file>