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2000.gada 26.septembra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Pieaugušo vakcinācija pret difteriju un stingumkrampjiem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09.01.2024. noteikumu Nr. 20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Pieaugušo balstvakcinācija*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5"/>
        <w:gridCol w:w="3084"/>
        <w:gridCol w:w="2970"/>
        <w:tblGridChange w:id="0">
          <w:tblGrid>
            <w:gridCol w:w="3135"/>
            <w:gridCol w:w="3084"/>
            <w:gridCol w:w="2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pēc iepriekšējās vakcinācijas pret difteriju un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gadi pēc pilna plānveida vakcinācijas kursa pabeigšanas***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pieaugušo balstvakcinācija pret difteriju un stingumkrampjiem, kuriem ir nokavēts balstvakcinācijas termiņš,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2"/>
        <w:gridCol w:w="3080"/>
        <w:gridCol w:w="2958"/>
        <w:tblGridChange w:id="0">
          <w:tblGrid>
            <w:gridCol w:w="3152"/>
            <w:gridCol w:w="3080"/>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Laika periods pēc pēdējās balstvakcinācijas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Ilgāk par 10 gadiem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To pieaugušo pamatvakcinācija un balstvakcinācija pret difteriju un stingumkrampjiem, kuri iepriekš nav vakcinēti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5"/>
        <w:gridCol w:w="4195"/>
        <w:gridCol w:w="5145"/>
        <w:tblGridChange w:id="0">
          <w:tblGrid>
            <w:gridCol w:w="4195"/>
            <w:gridCol w:w="4195"/>
            <w:gridCol w:w="5145"/>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starp vakcinācijām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ārstniecības personas apmeklējuma reizē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mēnešus pēc pirmās devas ievadīšanas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mēnešus pēc otrās devas ievadīšanas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balstvakcinācija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gadus pēc pamatvakcinācijas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balstvakcinācija un nākamās balstvakcinācijas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1.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Balstvakcinācija – atkārtota vakcīnas ievadīšana, lai, stimulējot imunoloģiskās atmiņas mehānismu, palielinātu specifisko antivielu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 pamatvakcinācija vai balstvakcinācija pret difteriju un stingumkrampjiem tiek veikta grūtniecei, tiek izmantota kombinētā vakcīna, kas satur difterijas un stingumkrampju toksoīdu ar samazinātu difterijas toksoīda daudzumu un garā klepus bezšūnu komponentu (Tdap).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 Pilns plānveida vakcinācijas kurss – ir saņemtas visas difterijas un stingumkrampju vakcīnu devas atbilstoši bērnu vakcinācijas kalendāram.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Td – difterijas un stingumkrampju toksoīds ar samazinātu difterijas toksoīda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DTaP-IPV – kombinētā vakcīna pret difteriju, stingumkrampjiem, garo klepu, poliomielītu.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24-TA-2152</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24-TA-2152</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noteikumu_konsolidētā_versija_p2_24-TA-2152.docx</dc:title>
</cp:coreProperties>
</file>

<file path=docProps/custom.xml><?xml version="1.0" encoding="utf-8"?>
<Properties xmlns="http://schemas.openxmlformats.org/officeDocument/2006/custom-properties" xmlns:vt="http://schemas.openxmlformats.org/officeDocument/2006/docPropsVTypes"/>
</file>