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specifiskais atbalsta mērķis) 4.1.2.5. pasākumu "Piesaistīt un noturēt ārstniecības personas darbam valsts apmaksāto veselības aprūpes pakalpojumu sektorā, īpaši stacionāros"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projektu iesniedzējam (turpmāk – projekta iesniedzējs), finansējuma saņēmējam (turpmāk – finansējuma saņēmējs)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23.07.2024. noteikumiem Nr. 503)</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23.07.2024. noteikumiem Nr. 503)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 ar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piesaistīt un noturēt ārstniecības personas darbam valsts apmaksāto veselības aprūpes pakalpojumu sektorā, īpaši stacionāros.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ārstniecības personas.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iznākuma rādītājs "Piesaistīto ārstniecības personu skaits, kuras saņēmušas atbalstu, lai veicinātu to piesaisti darbam veselības aprūpē" paredz, ka atbalstu uz 2029. gada 31. decembri būs saņēmušas 1049 ārstniecības personas, tostarp uz 2024. gada 31. decembri – 50 ārstniecības personas,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iznākuma rādītājs "Personas ar vidējo izglītību" paredz, ka atbalstu uz 2029. gada 31. decembri būs saņēmušas 105 ārstniecības personas un uz 2024. gada 31. decembri – piecas ārstniecības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iznākuma rādītājs "Personas ar augstāko izglītību" paredz, ka atbalstu uz 2029. gada 31. decembri būs saņēmušas 944 ārstniecības personas un uz 2024. gada 31. decembri – 45 ārstniecības personas.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Pasākumā pieejamais kopējais attiecināmais finansējums ir 15 326 299 </w:t>
      </w:r>
      <w:r w:rsidR="00000000" w:rsidRPr="00000000" w:rsidDel="00000000">
        <w:rPr>
          <w:i w:val="1"/>
          <w:rtl w:val="0"/>
        </w:rPr>
        <w:t xml:space="preserve">euro</w:t>
      </w:r>
      <w:r w:rsidR="00000000" w:rsidRPr="00000000" w:rsidDel="00000000">
        <w:rPr>
          <w:rtl w:val="0"/>
        </w:rPr>
        <w:t xml:space="preserve">, tai skaitā Eiropas Sociālā fonda Plus finansējums – 13 027 354 </w:t>
      </w:r>
      <w:r w:rsidR="00000000" w:rsidRPr="00000000" w:rsidDel="00000000">
        <w:rPr>
          <w:i w:val="1"/>
          <w:rtl w:val="0"/>
        </w:rPr>
        <w:t xml:space="preserve">euro </w:t>
      </w:r>
      <w:r w:rsidR="00000000" w:rsidRPr="00000000" w:rsidDel="00000000">
        <w:rPr>
          <w:rtl w:val="0"/>
        </w:rPr>
        <w:t xml:space="preserve">un valsts budžeta līdzfinansējums – 2 298 945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Eiropas Sociālā fonda Plus finansējuma apmērs nepārsniedz 85 procentus no projekta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atlase tiek izsludināta vienu reizi par visu pasākumam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pasākuma ietvaros ir vadošā valsts pārvaldes iestāde veselības nozarē – Veselības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par sadarbības partneriem piesaista šo noteikumu 21.1.</w:t>
      </w:r>
      <w:r w:rsidR="00000000" w:rsidRPr="00000000" w:rsidDel="00000000">
        <w:rPr>
          <w:vertAlign w:val="superscript"/>
          <w:rtl w:val="0"/>
        </w:rPr>
        <w:t xml:space="preserve">1</w:t>
      </w:r>
      <w:r w:rsidR="00000000" w:rsidRPr="00000000" w:rsidDel="00000000">
        <w:rPr>
          <w:rtl w:val="0"/>
        </w:rPr>
        <w:t xml:space="preserve"> apakšpunktā minētās atbalstāmās iestādes, kurām tiek piešķirts komercdarbības atbalsts saskaņā ar šo noteikumu </w:t>
      </w:r>
      <w:r w:rsidR="00000000" w:rsidRPr="00000000" w:rsidDel="00000000">
        <w:rPr>
          <w:rtl w:val="0"/>
        </w:rPr>
        <w:t xml:space="preserve">VII nodaļu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atbilstoši normatīvajiem aktiem par kārtību, kādā Eiropas Savienības fondu vadībā iesaistītās institūcijas nodrošina šo fondu ieviešanu 2021.–2027. gada plānošanas periodā, slēdz sadarbības līgumus ar sadarbības partneriem, kontrolē līgumu izpildi un novērš dubultā finansējuma riskus. Sadarbības līgumā papildus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minēto nosacījumu un tā izpildes uzraudzības kārtību, tai skaitā  dokumentācijas uzraudzības un pārskatu sniegšanas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kā arī dokumentu glabāšanas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Kohēzijas politikas fondu vadības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personu piesaiste;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ārsta prakses nodošana;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atbalstāmās darbības attiecināmās izmaksas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vienoto izmaksu likmi 13 procentu apmērā no pārējām šo noteikumu </w:t>
      </w:r>
      <w:r w:rsidR="00000000" w:rsidRPr="00000000" w:rsidDel="00000000">
        <w:rPr>
          <w:rtl w:val="0"/>
        </w:rPr>
        <w:t xml:space="preserve">34.</w:t>
      </w:r>
      <w:r w:rsidR="00000000" w:rsidRPr="00000000" w:rsidDel="00000000">
        <w:rPr>
          <w:rtl w:val="0"/>
        </w:rPr>
        <w:t xml:space="preserve"> 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ietvaros ir attiecināmas izmaksas par ārstniecības personu piesaistes pasākumiem, kuri ir vērsti uz valsts apmaksāto veselības aprūpes pakalpojumu pieejamības uzlabošanu un tiek īstenoti visā Latvijas teritorijā, kur ir konstatēts ārstniecības personāla trūkums, un iekļauj vienreizēju kompensāciju deviņu mēnešalgu apmērā atbilstoši ārstniecības personas amata kvalifikācijas kategorijai noteiktajai zemākajai algai saskaņā ar 2024. gada 1. janvārī spēkā esošajiem normatīvajiem aktiem par zemāko mēnešalgu un speciālo piemaksu ārstniecības personām (turpmāk – ārstniecības personas zemākās algas apmērs). Izmaksas attiecināmas uz šādām ārstniecības personām: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sertificēts ārsts un sertificēts zobārsts;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sertificēts fizioterapeits, sertificēts ergoterapeits, sertificēts audiologopēds un sertificēts mākslas terapeits;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zobārsta asistents;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māsa, sertificēts ārsta palīgs, sertificēta vecmāte;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sertificēts zobu higiēnists;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māsas palīgs.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minētajām ārstniecības personām saskaņā ar normatīvajiem aktiem par ārstniecības personu un ārstniecības atbalsta personu reģistra izveidi jābūt reģistrētām Ārstniecības personu un ārstniecības atbalsta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15.3.</w:t>
      </w:r>
      <w:r w:rsidR="00000000" w:rsidRPr="00000000" w:rsidDel="00000000">
        <w:rPr>
          <w:rtl w:val="0"/>
        </w:rPr>
        <w:t xml:space="preserve"> apakšpunktā minētā atbalstāmā darbība ietver vienreizēju kompensāciju ģimenes ārstam, kurš nodod savu ģimenes ārsta praksi, par specifisko zināšanu, informācijas un pieredzes nodošanu ģimenes ārstam, kurš pārņem praksi, ne mazāk kā viena mēneša periodam un iekļauj vienreizēju kompensāciju triju mēnešalgu apmērā atbilstoši ārstniecības personas zemākās algas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15.4.</w:t>
      </w:r>
      <w:r w:rsidR="00000000" w:rsidRPr="00000000" w:rsidDel="00000000">
        <w:rPr>
          <w:rtl w:val="0"/>
        </w:rPr>
        <w:t xml:space="preserve"> apakšpunktā minētā atbalstāmā darbība ietver informācijas un publicitātes nodrošināšanas izmaksas atbilstoši Regulas Nr. 2021/1060 47. un 50. pantam un kārtībai,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noteiktajām vienreizējām kompensācijām var pretendēt ārstniecības personas (turpmāk – kompensācijas pretendents vai kompensācijas saņēmējs) darbam prioritārajās jomās, tas ir, sirds un asinsvadu slimības, onkoloģija, psihiskā veselība, mātes un bērna veselības aprūpe, retās slimības, paliatīvā aprūpe, medicīniskā rehabilitācija, un ar šīm jomām saistītajās specialitātēs (turpmāk – atbalstāmās specialitātes), ja ir spēkā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atbalstāmās profesijas un specialitātes ir minētas pasākumam izstrādātajā Cilvēkresursu piesaistes plānā (turpmāk – Cilvēkresursu plāns);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ārstniecības iestādei ir noslēgts līgums ar Nacionālo veselības dienestu (turpmāk – dienests) par valsts apmaksāto veselības aprūpes pakalpojumu sniegšanu Latvijā, tai skaitā zobārstam – par zobārstniecības pakalpojumu sniegšanu, saskaņā ar normatīvajiem aktiem par veselības aprūpes pakalpojumu organizēšanas un samaksas kārtību vai noteikts deleģējums nodrošināt veselības aprūpes pakalpojumus (turpmāk – atbalstāmā iestāde);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kompensācijas pretendents pieteikumu iesniedzis līdz 2025. gada 31. decembrim, viņš šo noteikumu spēkā stāšanās dienā nav strādājis atbalstāmajā specialitātē atbalstāmajā iestādē. Kompensācijas pretendenta atbilstību pārbauda pēc stāvokļa šo noteikumu spēkā stāšanās datumā – 2023. gada 23. augustā;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kompensācijas pretendents pieteikumu iesniedzis, sākot ar 2026. gada 1. janvāri, viņš 2026. gada 1. janvārī nav strādājis atbalstāmajā specialitātē atbalstāmajā iestādē. Kompensācijas pretendenta atbilstību pārbauda pēc stāvokļa 2026. gada 1. janvārī;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23.07.2024. noteikumiem Nr. 503)</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pretendents saskaņā ar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apakšpunktu strādā atbalstāmajā iestādē atbalstāmajā specialitātē valsts apmaksāto veselības aprūpes pakalpojumu sniegšanā, un kompensācijas pretendentam ar atbalstāmo iestādi ir noslēgts darba līgums par normālo (tai skaitā saīsināto) darba laiku neatkarīgi no darba laika organizācijas (piemēram, nakts darbs, maiņu darbs vai summētais darba laiks). Darba līgums ir noslēgts vismaz uz trim gadiem no kompensācijas līguma noslēgšanas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23.07.2024. noteikumiem Nr. 503)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17.</w:t>
      </w:r>
      <w:r w:rsidR="00000000" w:rsidRPr="00000000" w:rsidDel="00000000">
        <w:rPr>
          <w:rtl w:val="0"/>
        </w:rPr>
        <w:t xml:space="preserve"> punktā minētajām vienreizējām kompensācijām, ievērojot šo noteikumu </w:t>
      </w:r>
      <w:r w:rsidR="00000000" w:rsidRPr="00000000" w:rsidDel="00000000">
        <w:rPr>
          <w:rtl w:val="0"/>
        </w:rPr>
        <w:t xml:space="preserve">21.</w:t>
      </w:r>
      <w:r w:rsidR="00000000" w:rsidRPr="00000000" w:rsidDel="00000000">
        <w:rPr>
          <w:rtl w:val="0"/>
        </w:rPr>
        <w:t xml:space="preserve"> punktā minētos nosacījumus, finansējuma saņēmējs, kompensācijas saņēmējs un atbalstāmā iestāde slēdz trīspusēju līgumu par kompensācijas saņemšanu (turpmāk – kompensācijas līgums), izņemot gadījumu, ja kompensācijas saņēmējs ir arī atbalstāmā iestāde un tiek slēgts divpusējs līgums.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Pieteikumu uz šo noteikumu </w:t>
      </w:r>
      <w:r w:rsidR="00000000" w:rsidRPr="00000000" w:rsidDel="00000000">
        <w:rPr>
          <w:rtl w:val="0"/>
        </w:rPr>
        <w:t xml:space="preserve">17.</w:t>
      </w:r>
      <w:r w:rsidR="00000000" w:rsidRPr="00000000" w:rsidDel="00000000">
        <w:rPr>
          <w:rtl w:val="0"/>
        </w:rPr>
        <w:t xml:space="preserve"> punktā minētajām vienreizējām kompensācijām kompensācijas pretendents iesniedz kopā ar atbalstāmās iestādes apliecinājumu, ka kompensācijas pretendents un atbalstāmā iestāde atbilst šo noteikumu </w:t>
      </w:r>
      <w:r w:rsidR="00000000" w:rsidRPr="00000000" w:rsidDel="00000000">
        <w:rPr>
          <w:rtl w:val="0"/>
        </w:rPr>
        <w:t xml:space="preserve">21.</w:t>
      </w:r>
      <w:r w:rsidR="00000000" w:rsidRPr="00000000" w:rsidDel="00000000">
        <w:rPr>
          <w:rtl w:val="0"/>
        </w:rPr>
        <w:t xml:space="preserve"> punktā minētajiem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Kompensācijas pretendenta un atbalstāmās iestādes atbilstību šo noteikumu </w:t>
      </w:r>
      <w:r w:rsidR="00000000" w:rsidRPr="00000000" w:rsidDel="00000000">
        <w:rPr>
          <w:rtl w:val="0"/>
        </w:rPr>
        <w:t xml:space="preserve">21.</w:t>
      </w:r>
      <w:r w:rsidR="00000000" w:rsidRPr="00000000" w:rsidDel="00000000">
        <w:rPr>
          <w:rtl w:val="0"/>
        </w:rPr>
        <w:t xml:space="preserve"> punktā minētajiem kompensācijas nosacījumiem finansējuma saņēmējs pārbauda uz kompensācijas pieteikuma iesniegšanas brīdi.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 minētais nosacījums nav attiecināms uz šo noteikumu </w:t>
      </w:r>
      <w:r w:rsidR="00000000" w:rsidRPr="00000000" w:rsidDel="00000000">
        <w:rPr>
          <w:rtl w:val="0"/>
        </w:rPr>
        <w:t xml:space="preserve">17.1.</w:t>
      </w:r>
      <w:r w:rsidR="00000000" w:rsidRPr="00000000" w:rsidDel="00000000">
        <w:rPr>
          <w:rtl w:val="0"/>
        </w:rPr>
        <w:t xml:space="preserve"> apakšpunktā minēto ģimenes ārstu, ja ģimenes ārsts konkrētajā periodā ir strādājis ģimenes ārsta praksē, bet tam nav sava pacientu saraksta.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 kompensācija ir atbalstāma, ja kompensācijas pretendents – ģimenes ārsts, kurš nodod savu ģimenes ārsta praksi, – ir sasniedzis pensijas vecumu un kopā ar pieteikumu iesniedzis dienesta apliecinājumu, ka  ģimenes ārsts, kurš nodod praksi, un ģimenes ārsts, kurš pārņems praksi, ir parakstījuši vienošanos par prakses pārņemšanas uzsākšanu. Specifisko zināšanu, informācijas un pieredzes nodošana norit ne mazāk kā vienu mēnesi no pieteikuma iesniegšanas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 minētā ģimenes ārsta prakses pārņemšanas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ārstam, kurš nodod savu ģimenes ārsta praksi, ir spēkā esošs ģimenes ārsta sertifikāts un spēkā esošs līgums ar dienestu par primārās veselības aprūpes pakalpojumu sniegšanu un apmaksu;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kurš pārņems praksi, var būt gan rezidentūras students, gan jau sertificēts ģimenes ārsts ar spēkā esošu līgumu par primārās veselības aprūpes pakalpojumu sniegšanu un apmaksu vai bez šāda līguma.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minēto vienreizējās kompensācijas pretendenta atbilstību vērtē finansējuma saņēmējs pieteikuma iesniegšanas brīdī, un kompensāciju attiecina un izmaksā tikai pēc tam, kad stājas spēkā ģimenes ārsta, kurš pārņem praksi, ar dienestu noslēgtais līgums par primārās veselības aprūpes sniegšanu un apmaksu un dienests to apliecina.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minēto prasību izpilde var ietvert noteikumos par rezidentu uzņemšanas, sadales un rezidentūras finansēšanas kārtību noteikto prasību izpildi attiecībā uz nodarbinātību rezidentūras laikā un pēc rezidentūras beigšanas neatkarīgi no specialitātes, kurā rezidentūra tiek veikta.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kontrolētu šo noteikumu </w:t>
      </w:r>
      <w:r w:rsidR="00000000" w:rsidRPr="00000000" w:rsidDel="00000000">
        <w:rPr>
          <w:rtl w:val="0"/>
        </w:rPr>
        <w:t xml:space="preserve">21.4.</w:t>
      </w:r>
      <w:r w:rsidR="00000000" w:rsidRPr="00000000" w:rsidDel="00000000">
        <w:rPr>
          <w:rtl w:val="0"/>
        </w:rPr>
        <w:t xml:space="preserve"> apakšpunktā ietverto prasību izpildi, kā arī pamatojoties uz finansējuma saņēmēja pieprasījumu, atbalstāmā iestāde sniedz informāciju par kompensācijas saņēmēja darba apjomu valsts apmaksāto veselības aprūpes pakalpojumu sniegšanā trīs gadus kopš šo noteikumu </w:t>
      </w:r>
      <w:r w:rsidR="00000000" w:rsidRPr="00000000" w:rsidDel="00000000">
        <w:rPr>
          <w:rtl w:val="0"/>
        </w:rPr>
        <w:t xml:space="preserve">22.</w:t>
      </w:r>
      <w:r w:rsidR="00000000" w:rsidRPr="00000000" w:rsidDel="00000000">
        <w:rPr>
          <w:rtl w:val="0"/>
        </w:rPr>
        <w:t xml:space="preserve"> punktā minētā kompensācijas līguma noslēgšanas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apakšpunktā minētā atbalstāmā iestāde pēc savas iniciatīvas izbeidz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apakšpunktā minētā līguma darbību vai samazina kompensācijas saņēmēja darba apjomu, kompensācijas saņēmējam ir tiesības iesniegt iesniegumu ar lūgumu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un saņemts konsultatīvās darba grupas lēmums par atbalstāmās iestādes maiņas pamatotību un sadarbības iestādes lēmums par komercdarbības atbalsta piešķiršanu atbalstāmajai iestādei, kurā darbu turpinās kompensācijas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apakšpunktā minētā atbalstāmā iestāde pārtrauc deleģēto funkciju nodrošināšanu, kompensācijas saņēmējam ir tiesības iesniegt iesniegumu ar lūgumu turpināt darbu atbalstāmajā specialitātē citā atbalstāmajā iestādē, ja tiek izpildīti šo noteikumu </w:t>
      </w:r>
      <w:r w:rsidR="00000000" w:rsidRPr="00000000" w:rsidDel="00000000">
        <w:rPr>
          <w:rtl w:val="0"/>
        </w:rPr>
        <w:t xml:space="preserve">21.1.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21.4.</w:t>
      </w:r>
      <w:r w:rsidR="00000000" w:rsidRPr="00000000" w:rsidDel="00000000">
        <w:rPr>
          <w:rtl w:val="0"/>
        </w:rPr>
        <w:t xml:space="preserve"> apakšpunktā minētie nosacījumi un saņemts konsultatīvās darba grupas lēmums par atbalstāmās iestādes maiņas pamatotību.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kompensācijas saņēmējs pēc savas iniciatīvas izbeidz šo noteikumu 22. punktā minētā līguma darbību, viņam ir pienākums atmaksāt saņemtās kompensācijas apjomu proporcionāli nenostrādātajam laikam, izņemot šo noteikumu 30.</w:t>
      </w:r>
      <w:r w:rsidR="00000000" w:rsidRPr="00000000" w:rsidDel="00000000">
        <w:rPr>
          <w:vertAlign w:val="superscript"/>
          <w:rtl w:val="0"/>
        </w:rPr>
        <w:t xml:space="preserve">3</w:t>
      </w:r>
      <w:r w:rsidR="00000000" w:rsidRPr="00000000" w:rsidDel="00000000">
        <w:rPr>
          <w:rtl w:val="0"/>
        </w:rPr>
        <w:t xml:space="preserve"> punktā minētos gadījumus.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Izņēmuma gadījumos, ja iestādes maiņa ir saistīta ar valsts interesēm vai valsts drošības nodrošināšanas jautājumiem, kompensācijas saņēmējs ir tiesīgs iesniegt iesniegumu ar lūgumu par atbalstāmās iestādes maiņu.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Lēmumu par atbalstāmās iestādes maiņas pamatotību atbilstoši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punktam katrā gadījumā individuāli pieņem konsultatīvā darba grupa 20 darbdienu laikā no iesnieguma saņemšanas dienas, tai skaitā, ja nepieciešams saņemt sadarbības iestādes lēmumu par komercdarbības atbalsta piešķiršanu atbalstāmajai iestādei, kurā darbu turpinās kompensācijas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Kompensācijas saņēmējs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minēto kompensāciju var saņemt vienu reizi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Kompensācijas pretendenti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minēto kompensāciju nesaņem, ja kompensācija jau ir saņemta saskaņā ar Eiropas Savienības struktūrfondu un Kohēzijas fonda 2014.–2020. gada plānošanas perioda darbības programmas "Izaugsme un nodarbinātība" prioritārā virziena "Sociālā iekļaušana un nabadzības apkarošana" 9.2.5. specifiskā atbalsta mērķi "Uzlabot pieejamību ārstniecības un ārstniecības atbalsta personām, kas sniedz pakalpojumus prioritārajās veselības jomās iedzīvotājiem, kas dzīvo ārpus Rīgas" un 9.2.7. specifiskā atbalsta mērķi "Atbalsts ārstniecības personām, kas nodrošina pacientu ārstēšanu sabiedrības veselības krīžu situāciju novēršanai".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pēc lēmuma par atbalsta piešķiršanu un kompensācijas izmaksāšanu tiek konstatēts, ka izmaksātā kompensācijas summa pārsniedz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noteikto kompensāciju apmēru, kompensācijas saņēmējiem ir pienākums atmaksāt finansējuma saņēmējam pārmaksāto atbalsta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w:t>
      </w:r>
      <w:r w:rsidR="00000000" w:rsidRPr="00000000" w:rsidDel="00000000">
        <w:rPr>
          <w:rtl w:val="0"/>
        </w:rPr>
        <w:t xml:space="preserve">16.</w:t>
      </w:r>
      <w:r w:rsidR="00000000" w:rsidRPr="00000000" w:rsidDel="00000000">
        <w:rPr>
          <w:rtl w:val="0"/>
        </w:rPr>
        <w:t xml:space="preserve">  punktā minētajām tiešajām personāla atlīdzības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minētās izmaksas veido pārējās projekta tiešās attiecināmās īstenošanas izmaksas, šo noteikumu </w:t>
      </w:r>
      <w:r w:rsidR="00000000" w:rsidRPr="00000000" w:rsidDel="00000000">
        <w:rPr>
          <w:rtl w:val="0"/>
        </w:rPr>
        <w:t xml:space="preserve">16.</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un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 atbildīgās iestādes pārstāvjus.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atbilstoši nepieciešamībai.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Cilvēkresursu plānu, kas nosaka nepieciešamo cilvēkresursu piesaisti veselības aprūpes pakalpojumu nodrošināšanai atbalstāmajā specialitātē atbalstāmajā iestādē visā Latvijas teritorijā;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nepieciešamībai, bet ne retāk kā reizi pusgadā izvērtē Cilvēkresursu plāna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Cilvēkresursu piesaistes kārtību (turpmāk - Kārtība), kādā veicama cilvēkresursu piesaiste un kompensāciju piešķiršana;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kompensācijas pretendentu atbilstību un pieņem lēmumu par kompensācijas piešķiršanu šādā kārtībā: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kompensācijas pretendentu pieteikumiem, kuriem ir saistošs komercdarbības atbalsts, pēc finansējuma saņēmēja veiktās šo noteikumu  </w:t>
      </w:r>
      <w:r w:rsidR="00000000" w:rsidRPr="00000000" w:rsidDel="00000000">
        <w:rPr>
          <w:rtl w:val="0"/>
        </w:rPr>
        <w:t xml:space="preserve">24.</w:t>
      </w:r>
      <w:r w:rsidR="00000000" w:rsidRPr="00000000" w:rsidDel="00000000">
        <w:rPr>
          <w:rtl w:val="0"/>
        </w:rPr>
        <w:t xml:space="preserve"> punktā minētās pārbaudes apstiprina izvērtējumu par kompensācijas pretendentu un atbalstāmās iestādes atbilstību šo noteikumu </w:t>
      </w:r>
      <w:r w:rsidR="00000000" w:rsidRPr="00000000" w:rsidDel="00000000">
        <w:rPr>
          <w:rtl w:val="0"/>
        </w:rPr>
        <w:t xml:space="preserve">21.</w:t>
      </w:r>
      <w:r w:rsidR="00000000" w:rsidRPr="00000000" w:rsidDel="00000000">
        <w:rPr>
          <w:rtl w:val="0"/>
        </w:rPr>
        <w:t xml:space="preserve"> punkta nosacījumiem;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kompensācijas pretendentu pieteikumiem, kuriem nav saistošs komercdarbības atbalsts, izvērtē pretendentu un atbalstāmās iestādes atbilstību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punkta nosacījumiem un apstiprina kompensācijas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23.07.2024. noteikumiem Nr. 503)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izstrādā kārtību, kādā veicama cilvēkresursu piesaiste veselības aprūpes pakalpojumu nodrošināšanai visā Latvijas teritorijā, paredzot atbalsta saņemšanas nosacījumus un kompensācijas pretendentu izvērtēšanas kritērijus.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sagatavo Cilvēkresursu plānu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kompensāciju pretendentu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nepieciešamos speciālistus dalījumā pa atbalstāmajām iestādēm un atbalstāmajām specialitātēm.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pārskatu par iepriekšējā gada Cilvēkresursu plāna izpildes rezultātiem un efektivitātes izvērtējumu, tostarp priekšlikumus Cilvēkresursu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atbalstāmo kompensācijas pretendentu atlasi;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kompensācijas pretendentu un atbalstāmo iestāžu sarakstu (turpmāk – saraksts) izskatīšanai un apstiprināšanai konsultatīvajā darba grupā;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saraksta apstiprināšanas atbilstoši šo noteikumu </w:t>
      </w:r>
      <w:r w:rsidR="00000000" w:rsidRPr="00000000" w:rsidDel="00000000">
        <w:rPr>
          <w:rtl w:val="0"/>
        </w:rPr>
        <w:t xml:space="preserve">36.4.1.</w:t>
      </w:r>
      <w:r w:rsidR="00000000" w:rsidRPr="00000000" w:rsidDel="00000000">
        <w:rPr>
          <w:rtl w:val="0"/>
        </w:rPr>
        <w:t xml:space="preserve"> apakšpunktam sarakstu nosūta sadarbības iestādei lēmuma pieņemšanai par komercdarbības atbalsta piešķiršanu: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sadarbības iestādes pieņemtā lēmuma par komercdarbības atbalsta piešķiršanu slēdz kompensācijas līgumus un veic kompensācijas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līgumos norāda šo noteikumu </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apakšpunktā minētā lēmuma pieņemšanas datumu;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saraksta apstiprināšanas un lēmuma par kompensācijas piešķiršanu pieņemšanas atbilstoši šo noteikumu </w:t>
      </w:r>
      <w:r w:rsidR="00000000" w:rsidRPr="00000000" w:rsidDel="00000000">
        <w:rPr>
          <w:rtl w:val="0"/>
        </w:rPr>
        <w:t xml:space="preserve">36.4.2.</w:t>
      </w:r>
      <w:r w:rsidR="00000000" w:rsidRPr="00000000" w:rsidDel="00000000">
        <w:rPr>
          <w:rtl w:val="0"/>
        </w:rPr>
        <w:t xml:space="preserve"> apakšpunktam slēdz kompensācijas līgumus un izmaksā kompensācijas.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tīmeklī, un nodrošina iespēju anonīmi izteikt iebildumus un ierosinājumus par atbalsta pasākumiem, kā arī ne retāk kā reizi trijos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17.</w:t>
      </w:r>
      <w:r w:rsidR="00000000" w:rsidRPr="00000000" w:rsidDel="00000000">
        <w:rPr>
          <w:rtl w:val="0"/>
        </w:rPr>
        <w:t xml:space="preserve"> punktā minēto kompensāciju proporcionāli nenostrādātajam laikam, ja kompensācijas saņēmējs neizpilda šo noteikumu </w:t>
      </w:r>
      <w:r w:rsidR="00000000" w:rsidRPr="00000000" w:rsidDel="00000000">
        <w:rPr>
          <w:rtl w:val="0"/>
        </w:rPr>
        <w:t xml:space="preserve">21.</w:t>
      </w:r>
      <w:r w:rsidR="00000000" w:rsidRPr="00000000" w:rsidDel="00000000">
        <w:rPr>
          <w:rtl w:val="0"/>
        </w:rPr>
        <w:t xml:space="preserve"> punktā minētos nosacījumus vai pirms termiņa lauž šo noteikumu </w:t>
      </w:r>
      <w:r w:rsidR="00000000" w:rsidRPr="00000000" w:rsidDel="00000000">
        <w:rPr>
          <w:rtl w:val="0"/>
        </w:rPr>
        <w:t xml:space="preserve">22.</w:t>
      </w:r>
      <w:r w:rsidR="00000000" w:rsidRPr="00000000" w:rsidDel="00000000">
        <w:rPr>
          <w:rtl w:val="0"/>
        </w:rPr>
        <w:t xml:space="preserve"> punktā minēto līgumu, vai darba attiecību pārtraukums vai laiks, kad netiek pildīti kompensācijas līguma nosacījumi, pārsniedz trīs mēnešus triju gadu periodā un finansējuma saņēmējs nepagarina kompensācijas līguma darbības termiņu. Atgūto finansējumu projekta īstenošanas laikā var atkārtoti izmantot projekta īstenošanai.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uzkrāj:</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Eiropas Parlamenta un Padomes 2021. gada 24. jūnija Regulas (ES) Nr.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I pielikumam un normatīvajam aktam par Eiropas Savienības fondu projektu pārbaužu veikšanas kārtību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"Vienlīdzība, iekļaušana, nediskriminācija un pamattiesību ievērošana" horizontālo rādītāju – mediju kampaņu, semināru, konferenču un komunikācijas pasākumu skaits sabiedrības informēšanai, kuros tika nodrošināta informācijas pieejamība cilvēkiem ar dažādu veidu funkcionāliem traucējumiem;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šo noteikumu </w:t>
      </w:r>
      <w:r w:rsidR="00000000" w:rsidRPr="00000000" w:rsidDel="00000000">
        <w:rPr>
          <w:rtl w:val="0"/>
        </w:rPr>
        <w:t xml:space="preserve">8.</w:t>
      </w:r>
      <w:r w:rsidR="00000000" w:rsidRPr="00000000" w:rsidDel="00000000">
        <w:rPr>
          <w:rtl w:val="0"/>
        </w:rPr>
        <w:t xml:space="preserve"> punktā minēto iznākuma rādītāju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minētās kompensācijas netiek apliktas ar nodokli atbilstoši likuma "</w:t>
      </w:r>
      <w:r w:rsidR="00000000" w:rsidRPr="00000000" w:rsidDel="00000000">
        <w:rPr>
          <w:rtl w:val="0"/>
        </w:rPr>
        <w:t xml:space="preserve">Par iedzīvotāju ienākuma nodokli</w:t>
      </w:r>
      <w:r w:rsidR="00000000" w:rsidRPr="00000000" w:rsidDel="00000000">
        <w:rPr>
          <w:rtl w:val="0"/>
        </w:rPr>
        <w:t xml:space="preserve">" 9. panta pirmās daļas 16.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2024. gada 23. septembra Regulas (ES, Euratom) Nr. 2024/2509 par finanšu noteikumiem, ko piemēro Savienības vispārējam budžetam (pārstrādāta redakcija), 61. pantu.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saņēmējam atbilstoši Ministru kabineta 2017. gada 17. oktobra noteikumiem Nr. 630 "Noteikumi par iekšējās kontroles sistēmas pamatprasībām korupcijas un interešu konflikta riska novēršanai publiskas personas institūcijā" ir izveidota iekšējās kontroles sistēma korupcijas un interešu konflikta riska novēršanai publiskas personas institūcijā, un tā ietver: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preventīvus pasākumus un konstatēšanas pasākumus interešu konflikta riska kontrolei, tai skaitā paziņošanas procedūru un labošanas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pasākumus aizliegtās vienošanās riska kontrolei;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dubultā finansējuma novēršanas mehānismu.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projektu pasākuma ietvaros īsteno saskaņā ar vienošanos par projekta īstenošanu, bet ne ilgāk kā līdz 2029. gada 31. decembrim vai līdz brīdim, kad beidzas projektam pieejamais finansējums.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piešķiršanas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partnera atbilstību komercdarbības atbalsta piešķiršanai pārbauda sadarbības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partnerim, kuram saskaņā ar normatīvajiem aktiem par veselības aprūpes pakalpojumu organizēšanu un samaksu ar dienestu ir noslēgts līgums par valsts apmaksāto veselības aprūpes pakalpojumu sniegšanu, šo noteikumu 17. punktā minētās vienreizējās kompensācijas piešķiramas saskaņā ar šīs nodaļas nosacījumiem un tās ir uzskatāmas par komercdarbības atbalstu, ko piešķir sadarbības iestāde. Kompensācijas saņemšana neierobežo kompensācijas saņēmēja tiesības ārpus šo noteikumu </w:t>
      </w:r>
      <w:r w:rsidR="00000000" w:rsidRPr="00000000" w:rsidDel="00000000">
        <w:rPr>
          <w:rtl w:val="0"/>
        </w:rPr>
        <w:t xml:space="preserve">21.4.</w:t>
      </w:r>
      <w:r w:rsidR="00000000" w:rsidRPr="00000000" w:rsidDel="00000000">
        <w:rPr>
          <w:rtl w:val="0"/>
        </w:rPr>
        <w:t xml:space="preserve">  apakšpunktā minētajiem pienākumiem iesaistīties maksas veselības aprūpes pakalpojumu sniegšanā un citu saimniecisko darbību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komercdarbības atbalsta piešķiršanas brīdi uzskata datumu, kad pieņemts sadarbības iestādes lēmums par komercdarbības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w:t>
      </w:r>
      <w:r w:rsidR="00000000" w:rsidRPr="00000000" w:rsidDel="00000000">
        <w:rPr>
          <w:rtl w:val="0"/>
        </w:rPr>
        <w:t xml:space="preserve"> punktā minētajiem sadarbības partneriem,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ar vispārēju tautsaimniecisku nozīmi sniedzējam piešķirto ekskluzīvo vai īpašo tiesību būtību;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iespēju saņemt kompensācijas maksājumus un nosacījumus kompensācijas maksājumu aprēķināšanai, kontrolei un pārskatīšanai, kā arī kompensācijas maksājumu pārmaksas novēršanai un atmaksāšanai;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w:t>
      </w:r>
      <w:r w:rsidR="00000000" w:rsidRPr="00000000" w:rsidDel="00000000">
        <w:rPr>
          <w:rtl w:val="0"/>
        </w:rPr>
        <w:t xml:space="preserve">Eiropas Komisijas 2011. gada 20. decembra Lēmumu Nr. 2012/21/ES</w:t>
      </w:r>
      <w:r w:rsidR="00000000" w:rsidRPr="00000000" w:rsidDel="00000000">
        <w:rPr>
          <w:rtl w:val="0"/>
        </w:rPr>
        <w:t xml:space="preserve"> par Līguma par Eiropas Savienības darbību 106. panta 2. punkta piemērošanu komercdarbības atbalstam attiecībā uz kompensāciju par sabiedriskajiem pakalpojumiem dažiem uzņēmumiem, kuriem uzticēts sniegt pakalpojumus ar vispārēju tautsaimniecisku nozīmi (turpmāk – Komisijas lēmums Nr. 2012/21/ES).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Pilnvarojuma uzlicējam un šo noteikumu </w:t>
      </w:r>
      <w:r w:rsidR="00000000" w:rsidRPr="00000000" w:rsidDel="00000000">
        <w:rPr>
          <w:rtl w:val="0"/>
        </w:rPr>
        <w:t xml:space="preserve">49.</w:t>
      </w:r>
      <w:r w:rsidR="00000000" w:rsidRPr="00000000" w:rsidDel="00000000">
        <w:rPr>
          <w:rtl w:val="0"/>
        </w:rPr>
        <w:t xml:space="preserve"> punktā minētajam sadarbības partnerim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50.5.</w:t>
      </w:r>
      <w:r w:rsidR="00000000" w:rsidRPr="00000000" w:rsidDel="00000000">
        <w:rPr>
          <w:rtl w:val="0"/>
        </w:rPr>
        <w:t xml:space="preserve"> apakšpunktā minētos kompensācijas maksājumus, kā arī novērsīs un atgūs kompensācijas maksājumu pārmaksu.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17.</w:t>
      </w:r>
      <w:r w:rsidR="00000000" w:rsidRPr="00000000" w:rsidDel="00000000">
        <w:rPr>
          <w:rtl w:val="0"/>
        </w:rPr>
        <w:t xml:space="preserve"> punktā minētajām vienreizējām kompensācijām, kas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minētās vienreizējās kompensācijas nav uzskatāmas par komercdarbības atbalstu, jo kompensācijas saņēmēji vairs nav uzskatāmi par saimnieciskās darbības veicējiem.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ir konstatēts Komisijas lēmuma Nr. 2012/21/ES nosacījumu pārkāpums, šo noteikumu </w:t>
      </w:r>
      <w:r w:rsidR="00000000" w:rsidRPr="00000000" w:rsidDel="00000000">
        <w:rPr>
          <w:rtl w:val="0"/>
        </w:rPr>
        <w:t xml:space="preserve">49.</w:t>
      </w:r>
      <w:r w:rsidR="00000000" w:rsidRPr="00000000" w:rsidDel="00000000">
        <w:rPr>
          <w:rtl w:val="0"/>
        </w:rPr>
        <w:t xml:space="preserve"> punktā minētajam sadarbības partnerim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23.07.2024. noteikumu Nr. 503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25-TA-884</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25-TA-884</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noteikumu_konsolidētā_versija_25-TA-884.docx</dc:title>
</cp:coreProperties>
</file>

<file path=docProps/custom.xml><?xml version="1.0" encoding="utf-8"?>
<Properties xmlns="http://schemas.openxmlformats.org/officeDocument/2006/custom-properties" xmlns:vt="http://schemas.openxmlformats.org/officeDocument/2006/docPropsVTypes"/>
</file>