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Bērnu tiesību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Bērnu tiesību aizsardzības likumā (Latvijas Republikas Saeimas un Ministru Kabineta Ziņotājs, 1998, 15. nr.; 2000, 8., 12. nr.; 2001, 24. nr.; 2002, 23. nr.; 2003, 12. nr.; 2004, 12. nr.; 2005, 8. nr.; 2006, 22. nr.; 2007, 9. nr.; 2008, 15. nr.; 2009, 14., 23. nr.; Latvijas Vēstnesis, 2009, 193. nr.; 2010, 47., 205. nr.; 2011, 112., 132. nr.; 2013, 118. nr.; 2014, 51., 60. nr.; 2015, 245. nr.; 2016, 241. nr.; 2017, 54., 242. nr.; 2018, 97., 240. nr.; 2019, 257.A nr.; 2020, 119.C, 199. nr.; 2021, 42., 227., 234.A, 252. nr.; 2023, 57.A, 84.A, 91., 247. nr.; 2024, 124., 242.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52. panta 1.</w:t>
      </w:r>
      <w:r w:rsidR="00000000" w:rsidRPr="00000000" w:rsidDel="00000000">
        <w:rPr>
          <w:vertAlign w:val="superscript"/>
          <w:rtl w:val="0"/>
        </w:rPr>
        <w:t xml:space="preserve">3</w:t>
      </w:r>
      <w:r w:rsidR="00000000" w:rsidRPr="00000000" w:rsidDel="00000000">
        <w:rPr>
          <w:rtl w:val="0"/>
        </w:rPr>
        <w:t xml:space="preserve"> daļas pirmo teikumu pēc vārda "apstrādi" ar vārdiem "valsts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52.</w:t>
      </w:r>
      <w:r w:rsidR="00000000" w:rsidRPr="00000000" w:rsidDel="00000000">
        <w:rPr>
          <w:vertAlign w:val="superscript"/>
          <w:rtl w:val="0"/>
        </w:rPr>
        <w:t xml:space="preserve">1 </w:t>
      </w:r>
      <w:r w:rsidR="00000000" w:rsidRPr="00000000" w:rsidDel="00000000">
        <w:rPr>
          <w:rtl w:val="0"/>
        </w:rPr>
        <w:t xml:space="preserve">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Starpinstitucionālās sadarbības programmas "Bērna māja" ietvaros kompetentās institūcijas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vienuviet nodrošinātu vardarbībā cietušā bērna labākajām interesēm atbilstošus intervences pasākumus, tai skaitā bērna vajadzību un risku izvērtēšanu, medicīnisko, psiholoģisko un sociālo atbalstu bērnam un tā nevardarbīgajam tuviniekam, – vardarbībā cietušā bērna un ar viņu saistīto citu personu personas datus un veselības datus, kas noteikti normatīvajos aktos par kārtību, kādā tiek īstenota starpinstitucionālās sadarbības programma "Bērna māja", un ir nepieciešami atbalsta un palīdzības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 – vardarbībā cietušā bērna un ar viņu saistīto citu personu personas datus un veselības datus Kriminālprocesa likumā un normatīvajos aktos par kārtību, kādā tiek īstenota starpinstitucionālās sadarbības programma "Bērna māja", noteiktajā apjomā. Ja pēc procesa virzītāja lūguma saņemšanas tiek nodrošināta iespēja veikt bērna pratināšanu, attiecīgās kriminālprocesuālās darbības norisi fiksē skaņu vai skaņu un attēlu ierakstā, ņemot vērā Kriminālprocesa likuma 152. panta pirmajā, ceturtajā, piektajā un astotajā daļā, kā arī 153. panta otrajā un trešajā daļā ietvertos priekšrakstus un minētās informācijas apstrādes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koordinētu un nodrošinātu informācijas apmaiņu starp kompetentajām institūcijām, kā arī nodrošinātu saņemtās informācijas uzkrāšanu un veiktu statistikas datu analīzi, – vardarbībā cietušā bērna un ar viņu saistīto citu personu personas datus un veselības datus, kas nepieciešami šīm kompetentajām institūcijām normatīvajos aktos noteikto funkciju un uzdevumu izpildei vardarbības pret bērnu gadījuma vadīšanā, neveicot atkārtotu vienas un tās pašas informācijas ieguvi no bērna (atkārtotu bērna iztaujāšanu u. tml.). Ja pēc kompetento institūciju lūguma saņemšanas tiek nodrošināta iespēja ar psihologa starpniecību veikt interviju ar bērnu (strukturētu psihologa sarunu ar bērnu), attiecīgās intervijas norisi fiksē skaņu un attēlu ierakstā, ņemot vērā normatīvajos aktos par kārtību, kādā tiek īstenota starpinstitucionālās sadarbības programma "Bērna māja", ietvertos priekšrakstus un minētās informācijas apstrādes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3.</w:t>
      </w:r>
      <w:r w:rsidR="00000000" w:rsidRPr="00000000" w:rsidDel="00000000">
        <w:rPr>
          <w:vertAlign w:val="superscript"/>
          <w:rtl w:val="0"/>
        </w:rPr>
        <w:t xml:space="preserve">1 </w:t>
      </w:r>
      <w:r w:rsidR="00000000" w:rsidRPr="00000000" w:rsidDel="00000000">
        <w:rPr>
          <w:rtl w:val="0"/>
        </w:rPr>
        <w:t xml:space="preserve">daļu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Lai nodrošinātu šā panta pirmajā daļā noteikto starpinstitucionālās sadarbības programmas "Bērna māja" darbības mērķu izpildi, Bērnu aizsardzības centrs valsts informācijas sistēmā apstrādā šā panta trešajā daļā minētos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25-TA-722</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25-TA-722</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likumprojekts_(grozījumi)_25-TA-722.docx</dc:title>
</cp:coreProperties>
</file>

<file path=docProps/custom.xml><?xml version="1.0" encoding="utf-8"?>
<Properties xmlns="http://schemas.openxmlformats.org/officeDocument/2006/custom-properties" xmlns:vt="http://schemas.openxmlformats.org/officeDocument/2006/docPropsVTypes"/>
</file>