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 – 2027. gadam 2.2.2. specifiskā atbalsta mērķa “Pārejas uz aprites ekonomiku veicināšana” 2.2.2.2. pasākuma “Atkritumu dalītā vākšana” projektu iesniegumu atlases otrās kārtas īstenošanas noteikumi </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13. punktu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 – 2027. gadam 2.2.2. specifiskā atbalsta mērķa “Pārejas uz aprites ekonomiku veicināšana” 2.2.2.2. pasākuma “Atkritumu dalītā vākšana” (turpmāk – pasākums) projektu iesniegumu otro atlases kārtu (turpmāk – atlases otrā kārta);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un atlases otrās kārtas mērķi;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atlases otrajai kārtai plānoto un pieejamo finansējumu;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Kohēzijas fonda projekta (turpmāk – projekts) iesniedzējam (turpmāk – projekta iesniedzējs) un finansējuma saņēmējam;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 kā arī komercdarbības atbalsta piešķiršanas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un atlases otrās kārtas mērķis ir attīstīt atkritumu dalītas vākšanas sistēmu, veicinot sagatavošanu atkārtotai izmantošanai, pārstrādei un reģenerācijai.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īstenošanas vieta ir Latvijas Republika.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atlases otrās kārtas projektu uzraudzības rādītājs un tā sasniedzamā vērtība līdz 2027. gada 31. decembrim: rezultāta rādītājs - šķiroti savāktu atkritumu daudzums. Rezultāta rādītāja vērtība tiek sasniegta, ja atlases otrās kārtas projektu ietvaros veikti ieguldījumi atkritumu dalītas savākšanas sistēmas attīstībā, sasniedzot dalīti savākto atkritumu daudzumu 4750 tonnas gadā.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Atlases otro kārtu īsteno atklātas projektu iesniegumu atlases veidā.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atbildīgās iestādes funkcijas pilda Vides aizsardzības un reģionālās attīstības ministrija.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atlases otrās kārtas īstenošanai plānotais un pieejamais kopējais attiecināmais finansējums ir vismaz  3 636 363 </w:t>
      </w:r>
      <w:r w:rsidR="00000000" w:rsidRPr="00000000" w:rsidDel="00000000">
        <w:rPr>
          <w:i w:val="1"/>
          <w:rtl w:val="0"/>
        </w:rPr>
        <w:t xml:space="preserve">euro</w:t>
      </w:r>
      <w:r w:rsidR="00000000" w:rsidRPr="00000000" w:rsidDel="00000000">
        <w:rPr>
          <w:rtl w:val="0"/>
        </w:rPr>
        <w:t xml:space="preserve">, tai skaitā Kohēzijas fonda finansējums – 2 000 000 </w:t>
      </w:r>
      <w:r w:rsidR="00000000" w:rsidRPr="00000000" w:rsidDel="00000000">
        <w:rPr>
          <w:i w:val="1"/>
          <w:rtl w:val="0"/>
        </w:rPr>
        <w:t xml:space="preserve">euro</w:t>
      </w:r>
      <w:r w:rsidR="00000000" w:rsidRPr="00000000" w:rsidDel="00000000">
        <w:rPr>
          <w:rtl w:val="0"/>
        </w:rPr>
        <w:t xml:space="preserve"> un </w:t>
      </w:r>
      <w:r w:rsidR="00000000" w:rsidRPr="00000000" w:rsidDel="00000000">
        <w:rPr>
          <w:i w:val="1"/>
          <w:rtl w:val="0"/>
        </w:rPr>
        <w:t xml:space="preserve"> </w:t>
      </w:r>
      <w:r w:rsidR="00000000" w:rsidRPr="00000000" w:rsidDel="00000000">
        <w:rPr>
          <w:rtl w:val="0"/>
        </w:rPr>
        <w:t xml:space="preserve">nacionālais līdzfinansējums, ko veido pašvaldību un privātais finansējums – vismaz 1 636 363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Neizmantoto Kohēzijas fonda finansējumu, kas atbrīvojies pēc pasākuma atlases otrās kārtas rīkošanas, novirza Eiropas Savienības kohēzijas politikas programmas 2021. – 2027. gadam 2.2.2. specifiskā atbalsta mērķa “Pārejas uz aprites ekonomiku veicināšana” 2.2.2.1. pasākuma “Atkritumu šķirošana, pārstrāde un reģenerācijas” atlases otrajai kārtai.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Kohēzijas fonda finansējumu piešķir granta veidā.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Maksimālais Kohēzijas fonda finansējums projektā ir 85 procenti no projekta kopējā attiecināmā finansējuma, ja projektā plānots </w:t>
      </w:r>
      <w:r w:rsidR="00000000" w:rsidRPr="00000000" w:rsidDel="00000000">
        <w:rPr>
          <w:i w:val="1"/>
          <w:rtl w:val="0"/>
        </w:rPr>
        <w:t xml:space="preserve">de minimis </w:t>
      </w:r>
      <w:r w:rsidR="00000000" w:rsidRPr="00000000" w:rsidDel="00000000">
        <w:rPr>
          <w:rtl w:val="0"/>
        </w:rPr>
        <w:t xml:space="preserve">atbalsts, vienlaikus ievērojot šo noteikumu </w:t>
      </w:r>
      <w:r w:rsidR="00000000" w:rsidRPr="00000000" w:rsidDel="00000000">
        <w:rPr>
          <w:rtl w:val="0"/>
        </w:rPr>
        <w:t xml:space="preserve">41. </w:t>
      </w:r>
      <w:r w:rsidR="00000000" w:rsidRPr="00000000" w:rsidDel="00000000">
        <w:rPr>
          <w:rtl w:val="0"/>
        </w:rPr>
        <w:t xml:space="preserve">punkta</w:t>
      </w:r>
      <w:r w:rsidR="00000000" w:rsidRPr="00000000" w:rsidDel="00000000">
        <w:rPr>
          <w:rtl w:val="0"/>
        </w:rPr>
        <w:t xml:space="preserve"> nosacījumus.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Šajos noteikumos iekļauti nosacījumi atbalsta sniegšanai lielajiem komersantiem, kas šo noteikumu izpratnē ir komersanti, kas neatbilst Eiropas Komisijas 2014. gada 17. jūnija Regulas (ES) Nr. 651/2014, </w:t>
      </w:r>
      <w:r w:rsidR="00000000" w:rsidRPr="00000000" w:rsidDel="00000000">
        <w:rPr>
          <w:i w:val="1"/>
          <w:rtl w:val="0"/>
        </w:rPr>
        <w:t xml:space="preserve">ar ko noteiktas atbalsta kategorijas atzīst par saderīgām ar iekšējo tirgu, piemērojot Līguma 107. un 108. pantu</w:t>
      </w:r>
      <w:r w:rsidR="00000000" w:rsidRPr="00000000" w:rsidDel="00000000">
        <w:rPr>
          <w:rtl w:val="0"/>
        </w:rPr>
        <w:t xml:space="preserve"> (turpmāk – regula Nr. 651/2014) I pielikumā noteiktajiem kritērijiem.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atlases otrās kārtas ietvaros ir pašvaldības, to kapitālsabiedrības un iestādes. Projekta iesniedzēja darbība atbilstoši Saimniecisko darbību statistiskās klasifikācijas Eiropas Kopienā (turpmāk - NACE) 2. redakcijai (sākot ar 2025. gada 1. janvāri - NACE 2.1. redakcijai) atbilst E sadaļas 38. vai 39. nodaļai, ja projekta iesniedzējs ir kapitālsabiedrība, vai arī O sadaļas 84.11 klasei (atbilstoši NACE 2.1. redakcijai – P sadaļas 84.11 klasei), ja projekta iesniedzējs ir pašvaldība vai pašvaldības iestāde. Projekta iesniedzējs pēc civiltiesiskā līguma vai vienošanās par projekta īstenošanu noslēgšanas ir finansējuma saņēmējs.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 atlases otrajā kārtā var iesniegt vienu projekta iesniegumu.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Par vienas pašvaldības teritoriju ir iesniedzams viens projekts, ko iesniedz viens no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minētajiem projekta iesniedzējiem.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saskaņā ar projektu iesniegumu atlases nolikuma prasībām sagatavo projekta iesniegumu, plānojot Kohēzijas fonda finansējumu, kas nepārsniedz 350 000 </w:t>
      </w:r>
      <w:r w:rsidR="00000000" w:rsidRPr="00000000" w:rsidDel="00000000">
        <w:rPr>
          <w:i w:val="1"/>
          <w:rtl w:val="0"/>
        </w:rPr>
        <w:t xml:space="preserve">euro,</w:t>
      </w:r>
      <w:r w:rsidR="00000000" w:rsidRPr="00000000" w:rsidDel="00000000">
        <w:rPr>
          <w:rtl w:val="0"/>
        </w:rPr>
        <w:t xml:space="preserve"> un iesniedz to sadarbības iestādē, izmantojot Kohēzijas politikas fondu vadības informācijas sistēmu.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atbilstoši sadarbības iestādes izstrādātajiem metodiskajiem norādījumiem veic projekta izmaksu un ieguvumu analīzi (finanšu analīzi un ekonomisko analīzi), ko pievieno projekta iesniegumam, ievērojot, ka projekta: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ekonomiskā ienesīguma norma ir lielāka par sociālā diskonta likmi;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ekonomiskā neto pašreizējā vērtība ir lielāka par nulli;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dzīves cikls ir 10 gadi.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līdz pirmā maksājuma pieprasījuma iesniegšanas dienai sadarbības iestādē nodrošina, ka tam ir zemesgrāmatā nostiprinātas tiesības veikt būvdarbus zemesgabalos, kur paredzēts īstenot projektu.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Atbalsts netiek piešķirts saimnieciskās darbības veicējam, attiecībā uz kuru pastāv vismaz viena regulas Nr. 651/2014 2. panta 18. punktā minētā situācija, ko pārbauda uz projekta iesnieguma iesniegšanas brīdi sadarbības iestādē un komercdarbības atbalsta piešķiršanas brīdī.</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attiecināmās izmaksas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Atlases kārtas ietvaros saskaņā ar vides un atkritumu apsaimniekošanas politikas plānošanas dokumentos noteiktajiem uzdevumiem ir atbalstāmas atkritumu dalītās vākšanas infrastruktūras izveide pašvaldību teritorijā, īstenojot arī sabiedrības izglītošanas un vides apziņu veicinošus pasākumus.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Atlases otrās kārtas ietvaros ieguldījumus veic atkritumu dalītajai vākšanai nepieciešamajos pamatlīdzekļos, tai skaitā tādos materiālajos aktīvos kā būves, aprīkojums un ar to saistītā infrastruktūra, ievērojot, 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iegādātie aktīvi ir jauni;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tos iekļauj finansējuma saņēmēja aktīvos kā amortizējamos ilgtermiņa ieguldījumus un tie paliek Latvijas Republikā un finansējuma saņēmēja īpašumā pēc projekta pabeigšanas (pēc pēdējā maksājuma veikšanas projektā) vismaz 10 gadus.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Pasākuma atlases otrās kārtas ietvaros projektos plāno tiešās attiecināmās izmaksas.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Tiešās attiecināmās izmaksas, kas sekmē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mērķa un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rādītāja sasniegšanu, ietver šādas izmaksu pozīcijas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veidojamās atkritumu dalītās vākšanas infrastruktūras būvprojekta izstrādes, autoruzraudzības un būvdarbu būvuzraudzības izmaksas, ja to veikšanu nosaka būvniecības jomu regulējošie normatīvie akti, nepārsniedzot 10 procentus no projekta kopējām attiecināmajām izmaksām, ja šīs izmaksas veido projekta ietvaros radīto pamatlīdzekļu vērtību;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atkritumu dalītās vākšanas pazemes vai daļēji iedziļināto konteineru un viedo konteineru izbūves būvdarbu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atkritumu dalītās vākšanas laukumu izbūves (bez pārvietojamu konteineru iegādes) būvdarbu izmaksas;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informatīvo un publicitātes pasākumu izmaksas: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komunikācijas un vizuālās identitātes prasību nodrošināšanai, bet nepārsniedzot vienu procentu no projekta kopējām tiešajām attiecināmajām izmaksām;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par sabiedrības informēšanas un izglītošanas pasākumu veikšanu, kas nav šo noteikumu </w:t>
      </w:r>
      <w:r w:rsidR="00000000" w:rsidRPr="00000000" w:rsidDel="00000000">
        <w:rPr>
          <w:rtl w:val="0"/>
        </w:rPr>
        <w:t xml:space="preserve">22.4.1.</w:t>
      </w:r>
      <w:r w:rsidR="00000000" w:rsidRPr="00000000" w:rsidDel="00000000">
        <w:rPr>
          <w:rtl w:val="0"/>
        </w:rPr>
        <w:t xml:space="preserve"> apakšpunktā minētās izmaksas, atbilstoši projekta iesniegumā iekļautajam sabiedrības izglītošanas plānam, bet ne mazāk par pieciem procentiem no projekta kopējām attiecināmām izmaksām.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Atlases otrās kārtas ietvaros nav atbalstāmi ieguldījumi: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dalīti savāktu atkritumu šķirošanas līniju izveidei vai atjaunošanai;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nešķirotu sadzīves vai nešķirotu videi kaitīgu preču atkritumu un sadzīves bīstamo atkritumu savākšanas infrastruktūrā;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pārvietojamu konteineru iegādē izbūvēto atkritumu dalītās vākšanas laukumu aprīkošanai;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transportlīdzekļu un traktortehnikas iegādē;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nekustamā īpašuma (zemesgabalu, ēku) iegādei.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22.4.2.</w:t>
      </w:r>
      <w:r w:rsidR="00000000" w:rsidRPr="00000000" w:rsidDel="00000000">
        <w:rPr>
          <w:rtl w:val="0"/>
        </w:rPr>
        <w:t xml:space="preserve"> apakšpunktā noteiktās izmaksas un šo noteikumu </w:t>
      </w:r>
      <w:r w:rsidR="00000000" w:rsidRPr="00000000" w:rsidDel="00000000">
        <w:rPr>
          <w:rtl w:val="0"/>
        </w:rPr>
        <w:t xml:space="preserve">22.1.</w:t>
      </w:r>
      <w:r w:rsidR="00000000" w:rsidRPr="00000000" w:rsidDel="00000000">
        <w:rPr>
          <w:rtl w:val="0"/>
        </w:rPr>
        <w:t xml:space="preserve"> apakšpunktā minētās būvprojekta izstrādes izmaksas 100 procentu apmērā finansē no pašvaldības vai privātā līdzfinansējuma vai saskaņā ar Komisijas 2023. gada 13. decembra Regulu (ES) Nr. 2023/2831 </w:t>
      </w:r>
      <w:r w:rsidR="00000000" w:rsidRPr="00000000" w:rsidDel="00000000">
        <w:rPr>
          <w:i w:val="1"/>
          <w:rtl w:val="0"/>
        </w:rPr>
        <w:t xml:space="preserve">par Līguma par Eiropas Savienības darbību 107. un 108. panta piemērošanu de minimis atbalstam</w:t>
      </w:r>
      <w:r w:rsidR="00000000" w:rsidRPr="00000000" w:rsidDel="00000000">
        <w:rPr>
          <w:rtl w:val="0"/>
        </w:rPr>
        <w:t xml:space="preserve"> (turpmāk – regula Nr. 2023/2831).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Ārpus projekta nedrīkst paredzēt izmaksas par darbībām, kas tiešā veidā nodrošina projekta mērķa sasniegšanu, izņemot šo noteikumu </w:t>
      </w:r>
      <w:r w:rsidR="00000000" w:rsidRPr="00000000" w:rsidDel="00000000">
        <w:rPr>
          <w:rtl w:val="0"/>
        </w:rPr>
        <w:t xml:space="preserve">31.8.</w:t>
      </w:r>
      <w:r w:rsidR="00000000" w:rsidRPr="00000000" w:rsidDel="00000000">
        <w:rPr>
          <w:rtl w:val="0"/>
        </w:rPr>
        <w:t xml:space="preserve"> apakšpunktā minētās izmaksas.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Izmaksas, kas saskaņā ar šo noteikumu </w:t>
      </w:r>
      <w:r w:rsidR="00000000" w:rsidRPr="00000000" w:rsidDel="00000000">
        <w:rPr>
          <w:rtl w:val="0"/>
        </w:rPr>
        <w:t xml:space="preserve">23.</w:t>
      </w:r>
      <w:r w:rsidR="00000000" w:rsidRPr="00000000" w:rsidDel="00000000">
        <w:rPr>
          <w:rtl w:val="0"/>
        </w:rPr>
        <w:t xml:space="preserve"> punktu nav iekļaujamas projektā kā attiecināmās izmaksas, ir finansējamas ārpus projekta par finansējuma saņēmēja līdzekļiem.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Atlases otrās kārtas atbalstāmo darbību ietvaros ir attiecināms pievienotās vērtības nodoklis tiešajām attiecināmajām izmaksām atbilstoši Eiropas Parlamenta un Padomes 2021. gada 24. jūnija Regulas (ES) Nr. 2021/1060,</w:t>
      </w:r>
      <w:r w:rsidR="00000000" w:rsidRPr="00000000" w:rsidDel="00000000">
        <w:rPr>
          <w:i w:val="1"/>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r w:rsidR="00000000" w:rsidRPr="00000000" w:rsidDel="00000000">
        <w:rPr>
          <w:rtl w:val="0"/>
        </w:rPr>
        <w:t xml:space="preserve">(turpmāk – regula Nr. 2021/1060) 64. panta 1. punkta "c" apakšpunkta nosacījumiem.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Izmaksas ir attiecināmas no projekta iesnieguma iesniegšanas dienas sadarbības iestādē, izņemot šo noteikumu </w:t>
      </w:r>
      <w:r w:rsidR="00000000" w:rsidRPr="00000000" w:rsidDel="00000000">
        <w:rPr>
          <w:rtl w:val="0"/>
        </w:rPr>
        <w:t xml:space="preserve">22.1. </w:t>
      </w:r>
      <w:r w:rsidR="00000000" w:rsidRPr="00000000" w:rsidDel="00000000">
        <w:rPr>
          <w:rtl w:val="0"/>
        </w:rPr>
        <w:t xml:space="preserve">apakšpunktā</w:t>
      </w:r>
      <w:r w:rsidR="00000000" w:rsidRPr="00000000" w:rsidDel="00000000">
        <w:rPr>
          <w:rtl w:val="0"/>
        </w:rPr>
        <w:t xml:space="preserve"> minētās būvprojekta izstrādes izmaksas, kas ir attiecināmas no 2023. gada 1. jūlija.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iesniegumā neiekļauj un finansējumu nepiešķir pabeigtām darbībām, izņemot darbības, kas saistītas ar šo noteikumu </w:t>
      </w:r>
      <w:r w:rsidR="00000000" w:rsidRPr="00000000" w:rsidDel="00000000">
        <w:rPr>
          <w:rtl w:val="0"/>
        </w:rPr>
        <w:t xml:space="preserve">22.1. </w:t>
      </w:r>
      <w:r w:rsidR="00000000" w:rsidRPr="00000000" w:rsidDel="00000000">
        <w:rPr>
          <w:rtl w:val="0"/>
        </w:rPr>
        <w:t xml:space="preserve">apakšpunktā</w:t>
      </w:r>
      <w:r w:rsidR="00000000" w:rsidRPr="00000000" w:rsidDel="00000000">
        <w:rPr>
          <w:rtl w:val="0"/>
        </w:rPr>
        <w:t xml:space="preserve"> minētajām būvprojekta izstrādes izmaksām.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Atlases kārtas un projekta īstenošanas un uzraudzības nosacījumi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attiecināms, projekta ietvaros, veicot iepirkumus, nodrošina vides prasību integrāciju preču, pakalpojumu un būvdarbu iepirkumos (zaļais publiskais iepirkums), kā arī izvērtē sociāli atbildīga un inovatīva publiskā iepirkuma nosacījumu piemērošanu.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Īstenojot projektu, finansējuma saņēmējs nodrošina, ka: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būvniecības procesa laikā tiks veikti pasākumi trokšņu, putekļu un piesārņojuma emisiju samazināšanai;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nekustamais īpašums, kurā tiks veiktas projektā paredzētās darbības, ir projekta iesniedzēja īpašumā, turējumā vai valdījumā projekta īstenošanas laikā un vismaz 10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plānotās darbības atbilst pašvaldības saistošo noteikumu par atkritumu apsaimniekošanu nosacījumiem un teritorijas plānojumam;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par sabiedrības informēšanas un izglītošanas pasākumu veikšanu, kas minētas šo noteikumu </w:t>
      </w:r>
      <w:r w:rsidR="00000000" w:rsidRPr="00000000" w:rsidDel="00000000">
        <w:rPr>
          <w:rtl w:val="0"/>
        </w:rPr>
        <w:t xml:space="preserve">22.4.2. </w:t>
      </w:r>
      <w:r w:rsidR="00000000" w:rsidRPr="00000000" w:rsidDel="00000000">
        <w:rPr>
          <w:rtl w:val="0"/>
        </w:rPr>
        <w:t xml:space="preserve">apakšpunktā</w:t>
      </w:r>
      <w:r w:rsidR="00000000" w:rsidRPr="00000000" w:rsidDel="00000000">
        <w:rPr>
          <w:rtl w:val="0"/>
        </w:rPr>
        <w:t xml:space="preserve">, ir vismaz pieci procenti no projekta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vismaz 60 procentiem dalīti savākto sadzīves atkritumu daudzuma, kas izteikts svara vienībās tonnas gadā un ir savākts projekta rezultātā izveidotajā atkritumu dalītās vākšanas infrastruktūrā, tiek rasts turpmāks pielietojums un  to pārstrādes produkti un materiāli tiks atgriezti saimnieciskā apritē;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ietvaros iepirkumus veic saskaņā ar normatīvajiem aktiem publisko iepirkumu jomā, īstenojot atklātu, pārredzamu, nediskriminējošu un konkurenci neierobežojošu procedūru;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dubultā finansējuma neiestāšanos un projektā plānoto darbību nepārklāšanos un to nefinansēšanu no citiem valsts un ārvalstu finanšu atbalsta instrumentiem vai citiem publiskiem līdzekļiem;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sadārdzinājumu sedz no līdzekļiem, par kuriem nav saņemts nekāds komercdarbības atbalsts;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līdzfinansējumu nodrošina no tādiem finanšu resursiem, par kuriem nav saņemts nekāds komercdarbības atbalsts;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grāmatvedības uzskaite par finansējuma izlietojumu projektā tiek veikta atsevišķi, nodalot tā ietvaros veiktās darbības no citas saimnieciskās darbības;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savā tīmekļvietnē ne retāk kā reizi sešos mēnešos ievieto aktuālu informāciju par projekta īstenošanu;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nav interešu konflikta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neesamības apliecinājumu;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nodrošina komunikācijas un vizuālās identitātes pasākumus saskaņā ar regulas Nr. 2021/1060 47. pantu un 50. pantu un normatīvajiem aktiem, kas nosaka kārtību, kādā Eiropas Savienības fondu vadībā iesaistītās institūcijas nodrošina šo fondu ieviešanu 2021. – 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izpilda nepieciešamās prasības, lai nodrošinātu horizontālo principu "Nenodarīt būtisku kaitējumu", "Klimatdrošināšana", “Vienlīdzība, iekļaušana, nediskriminācija un pamattiesību ievērošana”, kā arī Eiropas Savienības un Latvijas Republikas normatīvo aktu ievērošanu vides aizsardzības jomā, un nodrošina datu uzkrāšanu un sniedz Kohēzijas politikas fondu vadības informācijas sistēmā informāciju sadarbības iestādei par projekta ietekmi uz horizontālo principu īstenošanu (ja attiecināms).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saņēmējs pēcuzraudzības periodā nodrošina, ka projekta ietvaros izbūvētā atkritumu dalītas savākšanas infrastruktūra pastāvīgi 10 gadus no projekta noslēguma maksājuma veikšanas dienas tiek izmantota projektā noteikto mērķu sasniegšanai un rezultātu ilgtspējas nodrošināšanai, tai skaitā projektā norādītā sasniedzamā dalīti vākto atkritumu daudzuma rādītāja vērtības sasniegšanai. Ja finansējuma saņēmējs projekta īstenošanas teritorijā nesniedz atkritumu dalītās savākšanas pakalpojumu, finansējuma saņēmējs līdz noslēguma maksājuma iesniegšanas brīdim piesaista izveidotā infrastruktūras objekta darbības nodrošināšanai atkritumu apsaimniekotāju, kas normatīvajos aktos noteiktajā kārtībā ir izvēlēts sniegt atkritumu apsaimniekošanas pakalpojumu attiecīgajā pašvaldībā.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sadarbības iestādei ir pieejami valsts budžeta līdzekļi, tā, izvērtējot plānotā avansa apmēru un tā pamatojumu un pamatojoties uz finansējuma saņēmēja rakstisku avansa pieprasījumu, pēc civiltiesiskā līguma par projekta īstenošanu noslēgšanas var piešķirt finansējuma saņēmējam avansu. Finansējuma saņēmējs avansa pieprasījumu sagatavo un sadarbības iestāde to apstiprina, ņemot vērā, ka plānotā avansa apmērs un tā pamatojums atbilst finansējuma saņēmēja spējai to izlietot sešu mēnešu laikā, ja finansējuma saņēmējs ir kapitālsabiedrība vai sešu mēnešu laikā saimnieciskā gada ietvaros, ja finansējuma saņēmējs ir pašvaldība vai tās iestāde. Finansējuma saņēmējam avansu var piešķirt līdz 30 procentiem no projektam piešķirtā Kohēzijas fonda finansējuma.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Atlases otrās kārtas ietvaros projektu īsteno saskaņā ar civiltiesisko līgumu vai vienošanos par projekta īstenošanu, bet ne ilgāk kā līdz 2027. gada 31. decembrim.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Komercdarbības atbalsta piešķiršanas nosacījumi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Komercdarbības atbalstu šo noteikumu ietvaros piešķir saskaņā ar regulas Nr. 651/2014 47. pantu un regulu Nr. 2023/2831.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Komercdarbības atbalstu saskaņā ar regulas Nr. 651/2014 47. pantu projekta iesniedzējam piešķir, ja ievēroti arī visi turpmāk minētie regulas Nr. 651/2014 nosacījumi: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panta 2. punkta "c" un "d" apakšpunkta nosacījumi par gadījumiem, kādos nepiemēro regulu Nr. 651/2014;</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 panta 3. punkta nosacījumi par nozarēm, kurām nepiemēro regulu Nr. 651/2014 un kurām tiek nodrošināta izmaksu nošķiršana, lai darbības izslēgtajās nozarēs negūst labumu no atbalsta, kas piešķirts saskaņā ar regulu Nr. 651/2014;</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 panta 4. punkta "a" apakšpunkta nosacījumi, ka atbalsts netiek sniegts saņēmējam, uz kuru attiecas līdzekļu atgūšanas rīkojums saskaņā ar iepriekšēju Komisijas lēmumu, ar ko atbalsts tiek atzīts par nelikumīgu un nesaderīgu ar kopējo tirgu;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4. panta 1. punkta "s" apakšpunkta nosacījums par viena ieguldījumu projekta apmēru vienam uzņēmumam.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Piešķirtais komercdarbības atbalsts nevar tikt apvienots ar finansējumu citas atbalsta programmas ietvaros, kam finansējums tiek piešķirts no vietējiem, reģionālajiem, valsts vai Eiropas Savienības finanšu līdzekļiem par tām pašām attiecināmajām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projekta darbības, izņemot šo noteikumu </w:t>
      </w:r>
      <w:r w:rsidR="00000000" w:rsidRPr="00000000" w:rsidDel="00000000">
        <w:rPr>
          <w:rtl w:val="0"/>
        </w:rPr>
        <w:t xml:space="preserve">22.1. </w:t>
      </w:r>
      <w:r w:rsidR="00000000" w:rsidRPr="00000000" w:rsidDel="00000000">
        <w:rPr>
          <w:rtl w:val="0"/>
        </w:rPr>
        <w:t xml:space="preserve">apakšpunktā</w:t>
      </w:r>
      <w:r w:rsidR="00000000" w:rsidRPr="00000000" w:rsidDel="00000000">
        <w:rPr>
          <w:rtl w:val="0"/>
        </w:rPr>
        <w:t xml:space="preserve"> minēto būvprojekta izstrādi, ir uzsāktas un izmaksas radušās pirms projekta iesnieguma iesniegšanas sadarbības iestādē, projekta iesniegums tiek noraidīts.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Ar projekta izmaksām saistītos līgumus slēdz un ar ieguldījumiem saistītus darbus uzsāk pēc projekta iesnieguma iesniegšanas sadarbības iestādē, tai skaitā, ievērojot arī regulas Nr. 651/2014 2.panta 23. punktā minēto nosacījumu par darbu sākumu un regulas Nr. 651/2014 6.panta 2. punktā minēto stimulējošās ietekmes prasību. Līgumi, kas var būt noslēgti pirms projekta iesnieguma iesniegšanas sadarbības iestādē, ir saistīti ar šo noteikumu </w:t>
      </w:r>
      <w:r w:rsidR="00000000" w:rsidRPr="00000000" w:rsidDel="00000000">
        <w:rPr>
          <w:rtl w:val="0"/>
        </w:rPr>
        <w:t xml:space="preserve">22.1. </w:t>
      </w:r>
      <w:r w:rsidR="00000000" w:rsidRPr="00000000" w:rsidDel="00000000">
        <w:rPr>
          <w:rtl w:val="0"/>
        </w:rPr>
        <w:t xml:space="preserve">apakšpunktā</w:t>
      </w:r>
      <w:r w:rsidR="00000000" w:rsidRPr="00000000" w:rsidDel="00000000">
        <w:rPr>
          <w:rtl w:val="0"/>
        </w:rPr>
        <w:t xml:space="preserve"> minētajām būvprojekta izstrādes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Komercdarbības atbalsta piešķiršanas brīdis ir diena, kad tiek pieņemts sadarbības iestādes lēmums par projekta iesnieguma apstiprināšanu vai izdots atzinums par lēmumā noteikto nosacījumu izpildi, ja iepriekš ir bijis pieņemts lēmums par projekta iesnieguma apstiprināšanu ar nosacījumu.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Maksimālā Kohēzijas fonda finansējuma intensitāte, kurā neiekļauj </w:t>
      </w:r>
      <w:r w:rsidR="00000000" w:rsidRPr="00000000" w:rsidDel="00000000">
        <w:rPr>
          <w:i w:val="1"/>
          <w:rtl w:val="0"/>
        </w:rPr>
        <w:t xml:space="preserve">de minimis</w:t>
      </w:r>
      <w:r w:rsidR="00000000" w:rsidRPr="00000000" w:rsidDel="00000000">
        <w:rPr>
          <w:rtl w:val="0"/>
        </w:rPr>
        <w:t xml:space="preserve"> atbalstu šo noteikumu </w:t>
      </w:r>
      <w:r w:rsidR="00000000" w:rsidRPr="00000000" w:rsidDel="00000000">
        <w:rPr>
          <w:rtl w:val="0"/>
        </w:rPr>
        <w:t xml:space="preserve">22.4.2.</w:t>
      </w:r>
      <w:r w:rsidR="00000000" w:rsidRPr="00000000" w:rsidDel="00000000">
        <w:rPr>
          <w:rtl w:val="0"/>
        </w:rPr>
        <w:t xml:space="preserve"> apakšpunktā minēto izmaksu un šo noteikumu </w:t>
      </w:r>
      <w:r w:rsidR="00000000" w:rsidRPr="00000000" w:rsidDel="00000000">
        <w:rPr>
          <w:rtl w:val="0"/>
        </w:rPr>
        <w:t xml:space="preserve">22.1.</w:t>
      </w:r>
      <w:r w:rsidR="00000000" w:rsidRPr="00000000" w:rsidDel="00000000">
        <w:rPr>
          <w:rtl w:val="0"/>
        </w:rPr>
        <w:t xml:space="preserve"> apakšpunktā minēto būvprojekta izstrādes izmaksu segšanai, ievērojot regulas Nr. 651/2014 47. panta 8. un 9. punktā minēto, ir 55 procenti.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Projekta iesniedzējs atbilstoši regulas Nr. 651/2014 47. panta 7. punkta trešajai daļai projekta iesniegumā apraksta un pievieno dokumentārus pierādījumus, ka atbalsta nepiešķiršanas gadījumā ieguldījums netiktu veikts, piemēram, šādu iemeslu dēļ:</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tirgus nepilnības Latvijā vai projekta īstenošanas vietai atbilstošajā atkritumu apsaimniekošanas reģionā;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otrreizēju izejvielu pieprasījuma kritums;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otrreizēju izejvielu cenu izmaiņas;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citi projekta iesniedzēja sniegti pierādījumi.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ko projekta iesniedzējam piešķir šo noteikumu </w:t>
      </w:r>
      <w:r w:rsidR="00000000" w:rsidRPr="00000000" w:rsidDel="00000000">
        <w:rPr>
          <w:rtl w:val="0"/>
        </w:rPr>
        <w:t xml:space="preserve">22.4.2. </w:t>
      </w:r>
      <w:r w:rsidR="00000000" w:rsidRPr="00000000" w:rsidDel="00000000">
        <w:rPr>
          <w:rtl w:val="0"/>
        </w:rPr>
        <w:t xml:space="preserve">apakšpunktā minētajām izmaksām sabiedrības informēšanas un izglītošanas pasākumu veikšanai un šo noteikumu </w:t>
      </w:r>
      <w:r w:rsidR="00000000" w:rsidRPr="00000000" w:rsidDel="00000000">
        <w:rPr>
          <w:rtl w:val="0"/>
        </w:rPr>
        <w:t xml:space="preserve">22.1. </w:t>
      </w:r>
      <w:r w:rsidR="00000000" w:rsidRPr="00000000" w:rsidDel="00000000">
        <w:rPr>
          <w:rtl w:val="0"/>
        </w:rPr>
        <w:t xml:space="preserve"> apakšpunktā minētā būvprojekta izstrādes izmaksām, sniedz saskaņā ar regulu Nr. 2023/2831, ievērojot šādus nosacījumus: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ievērojot regulas Nr. 2023/2831 1. panta 1. punkta a), b), c) un d) apakšpunktā minētos nozaru ierobežojumus un regulas Nr. 2023/2831 1. panta 1. punkta e) un f) apakšpunktā minētos darbības ierobežojumus. Ja projekta iesniedzējs vienlaikus vienā vai vairākās nozarēs vai veic citas darbības sfērās, kas neietilpst Komisijas regulas Nr. 2023/2831 darbības jomā, tas nodrošina šo nozaru darbību vai izmaksu nodalīšanu saskaņā ar komisijas regulas Nr. 2023/2831 1. panta 2. punktu, lai darbības nozarēs, kuras ir izslēgtas no šīs regulas darbības jomas, negūtu labumu no </w:t>
      </w:r>
      <w:r w:rsidR="00000000" w:rsidRPr="00000000" w:rsidDel="00000000">
        <w:rPr>
          <w:i w:val="1"/>
          <w:rtl w:val="0"/>
        </w:rPr>
        <w:t xml:space="preserve">de minimis</w:t>
      </w:r>
      <w:r w:rsidR="00000000" w:rsidRPr="00000000" w:rsidDel="00000000">
        <w:rPr>
          <w:rtl w:val="0"/>
        </w:rPr>
        <w:t xml:space="preserve"> atbalsta, ko piešķir saskaņā ar šo regulu;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plānotā </w:t>
      </w:r>
      <w:r w:rsidR="00000000" w:rsidRPr="00000000" w:rsidDel="00000000">
        <w:rPr>
          <w:i w:val="1"/>
          <w:rtl w:val="0"/>
        </w:rPr>
        <w:t xml:space="preserve">de minimis</w:t>
      </w:r>
      <w:r w:rsidR="00000000" w:rsidRPr="00000000" w:rsidDel="00000000">
        <w:rPr>
          <w:rtl w:val="0"/>
        </w:rPr>
        <w:t xml:space="preserve"> atbalsta piešķiršanas pārbauda, vai projekta iesniedzējam iepriekšējos trīs gados no plānotā atbalsta piešķiršanas dienas jau saņemtais un plānotais d</w:t>
      </w:r>
      <w:r w:rsidR="00000000" w:rsidRPr="00000000" w:rsidDel="00000000">
        <w:rPr>
          <w:i w:val="1"/>
          <w:rtl w:val="0"/>
        </w:rPr>
        <w:t xml:space="preserve">e</w:t>
      </w:r>
      <w:r w:rsidR="00000000" w:rsidRPr="00000000" w:rsidDel="00000000">
        <w:rPr>
          <w:i w:val="1"/>
          <w:rtl w:val="0"/>
        </w:rPr>
        <w:t xml:space="preserve"> minimis</w:t>
      </w:r>
      <w:r w:rsidR="00000000" w:rsidRPr="00000000" w:rsidDel="00000000">
        <w:rPr>
          <w:rtl w:val="0"/>
        </w:rPr>
        <w:t xml:space="preserve"> atbalsts viena vienota uzņēmuma līmenī nepārsniedz regulas Nr.2023/2831 3.panta 2.punktā noteikto robežlielumu jeb 300 000 euro. Viens vienots uzņēmums ir tāds uzņēmums, kas atbilst regulas Nr. 2023/2831 2. panta 2. punktā minētajiem kritērijiem;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 </w:t>
      </w:r>
      <w:r w:rsidR="00000000" w:rsidRPr="00000000" w:rsidDel="00000000">
        <w:rPr>
          <w:i w:val="1"/>
          <w:rtl w:val="0"/>
        </w:rPr>
        <w:t xml:space="preserve">de minimis </w:t>
      </w:r>
      <w:r w:rsidR="00000000" w:rsidRPr="00000000" w:rsidDel="00000000">
        <w:rPr>
          <w:rtl w:val="0"/>
        </w:rPr>
        <w:t xml:space="preserve">atbalsta gadījumā projekta iesniegumam pievieno </w:t>
      </w:r>
      <w:r w:rsidR="00000000" w:rsidRPr="00000000" w:rsidDel="00000000">
        <w:rPr>
          <w:i w:val="1"/>
          <w:rtl w:val="0"/>
        </w:rPr>
        <w:t xml:space="preserve">de minimis</w:t>
      </w:r>
      <w:r w:rsidR="00000000" w:rsidRPr="00000000" w:rsidDel="00000000">
        <w:rPr>
          <w:rtl w:val="0"/>
        </w:rPr>
        <w:t xml:space="preserve"> atbalsta uzskaites sistēmā sagatavotas veidlapas izdruku vai norāda sistēmā izveidotās un apstiprinātās atbalsta pretendenta veidlapas identifikācijas numuru,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Dokumentāciju par </w:t>
      </w:r>
      <w:r w:rsidR="00000000" w:rsidRPr="00000000" w:rsidDel="00000000">
        <w:rPr>
          <w:i w:val="1"/>
          <w:rtl w:val="0"/>
        </w:rPr>
        <w:t xml:space="preserve">de minimis </w:t>
      </w:r>
      <w:r w:rsidR="00000000" w:rsidRPr="00000000" w:rsidDel="00000000">
        <w:rPr>
          <w:rtl w:val="0"/>
        </w:rPr>
        <w:t xml:space="preserve">atbalsta piešķiršanu sadarbības iestāde glabā 10 gadus no programmas ietvaros pēdējā piešķirtā atbalsta, bet finansējuma saņēmējs – 10 gadus no atbalsta piešķiršanas dienas;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 </w:t>
      </w:r>
      <w:r w:rsidR="00000000" w:rsidRPr="00000000" w:rsidDel="00000000">
        <w:rPr>
          <w:i w:val="1"/>
          <w:rtl w:val="0"/>
        </w:rPr>
        <w:t xml:space="preserve">de minimis </w:t>
      </w:r>
      <w:r w:rsidR="00000000" w:rsidRPr="00000000" w:rsidDel="00000000">
        <w:rPr>
          <w:rtl w:val="0"/>
        </w:rPr>
        <w:t xml:space="preserve">atbalsta piešķiršanas brīdis ir diena, kad tiek pieņemts lēmums par projekta iesnieguma apstiprināšanu vai sniegts atzinums par lēmumā noteikto nosacījumu izpildi, ja iepriekš pieņemts lēmums par projekta iesnieguma apstiprināšanu ar nosacījumu;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ko piešķir atbilstoši šiem noteikumiem, par vienām un tām pašām attiecināmajām izmaksām nedrīkst kumulēt ar citu komercdarbības atbalstu un </w:t>
      </w:r>
      <w:r w:rsidR="00000000" w:rsidRPr="00000000" w:rsidDel="00000000">
        <w:rPr>
          <w:i w:val="1"/>
          <w:rtl w:val="0"/>
        </w:rPr>
        <w:t xml:space="preserve">de minimis</w:t>
      </w:r>
      <w:r w:rsidR="00000000" w:rsidRPr="00000000" w:rsidDel="00000000">
        <w:rPr>
          <w:rtl w:val="0"/>
        </w:rPr>
        <w:t xml:space="preserve"> atbalstu.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Finansējuma saņēmējs nodrošina, ka ar komercdarbības atbalstu saistīto projekta dokumentāciju glabā 10 gadus no dienas, kad piešķirts komercdarbības atbalsts saskaņā ar šiem noteikumiem.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Sadarbības iestāde informāciju un apliecinošos dokumentus par sniegto komercdarbības atbalstu glabā 10 gadus no dienas, kad piešķirts pēdējais atbalsts saskaņā ar šiem noteikumiem.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Sadarbības iestāde nodrošina komercdarbības atbalsta pārredzamības prasības izpildi atbilstoši Nr.651/2014 9. panta 1. un 4. punktam un atbilstoši normatīvajam aktam par kārtību, kādā publicē informāciju par sniegto komercdarbības atbalstu un piešķir un anulē elektroniskās sistēmas lietošanas tiesības.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Lēmumu par atbalsta piešķiršanu saskaņā ar regulu Nr.2023/2831 var pieņemt līdz šīs regulas darbības beigām, savukārt lēmumu par atbalsta piešķiršanu saskaņā ar regulu Nr. 651/2014 pieņem līdz 2027. gada 30. jūnijam.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Ja tiek pārkāptas regulas Nr.651/2014 prasības, finansējuma saņēmējam ir pienākums atmaksāt sadarbības iestādei projekta ietvaros saņemto nelikumīgo komercdarbības atbalstu, savukārt, ja tiek pārkāptas regulas Nr. 2023/2831 prasības, finansējuma saņēmējam ir pienākums atmaksāt sadarbības iestādei visu projekta ietvaros saņemto nelikumīgo </w:t>
      </w:r>
      <w:r w:rsidR="00000000" w:rsidRPr="00000000" w:rsidDel="00000000">
        <w:rPr>
          <w:i w:val="1"/>
          <w:rtl w:val="0"/>
        </w:rPr>
        <w:t xml:space="preserve">de minimis</w:t>
      </w:r>
      <w:r w:rsidR="00000000" w:rsidRPr="00000000" w:rsidDel="00000000">
        <w:rPr>
          <w:rtl w:val="0"/>
        </w:rPr>
        <w:t xml:space="preserve"> atbalstu. Atmaksu veic kopā ar procentiem no līdzekļiem, kas ir brīvi no komercdarbības atbalsta, saskaņā ar Komercdarbības atbalsta kontroles likuma IV vai V nodaļu.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24-TA-339</w:t>
    </w:r>
    <w:r>
      <w:br/>
    </w:r>
    <w:r w:rsidR="00000000" w:rsidRPr="00000000" w:rsidDel="00000000">
      <w:rPr>
        <w:rtl w:val="0"/>
      </w:rPr>
      <w:t xml:space="preserve">Izdrukāts 29.07.2026. 21.20 - 1.0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24-TA-339</w:t>
    </w:r>
    <w:r>
      <w:br/>
    </w:r>
    <w:r w:rsidR="00000000" w:rsidRPr="00000000" w:rsidDel="00000000">
      <w:rPr>
        <w:rtl w:val="0"/>
      </w:rPr>
      <w:t xml:space="preserve">Izdrukāts 29.07.2026. 21.20 - 1.0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noteikumu_projekts_24-TA-339.docx</dc:title>
</cp:coreProperties>
</file>

<file path=docProps/custom.xml><?xml version="1.0" encoding="utf-8"?>
<Properties xmlns="http://schemas.openxmlformats.org/officeDocument/2006/custom-properties" xmlns:vt="http://schemas.openxmlformats.org/officeDocument/2006/docPropsVTypes"/>
</file>