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dzīvokļa īpašuma Albatrosu ielā 26–29, Rīgā, valstij piederošās 1/2 domājamās daļas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ievērojot Publiskas personas mantas atsavināšanas likuma 14. panta nosacījumus, pārdot izsolē valstij piederošo 1/2 domājamo daļu no dzīvokļa īpašuma (nekustamā īpašuma kadastra Nr. 0100 904 0504) – dzīvokļa Nr. 29 (telpu grupas kadastra apzīmējums 0100 120 2174 002 029) un kopīpašuma 22/1000 domājamām daļām no dzīvojamās ēkas (būves kadastra apzīmējums 0100 120 2174 002) – Albatrosu ielā 26, Rīgā, kas ierakstīta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valstij piederošo domājamo daļu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valstij piederošo domājamo daļu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25-TA-2665</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25-TA-2665</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rīkojuma_projekts_25-TA-2665.docx</dc:title>
</cp:coreProperties>
</file>

<file path=docProps/custom.xml><?xml version="1.0" encoding="utf-8"?>
<Properties xmlns="http://schemas.openxmlformats.org/officeDocument/2006/custom-properties" xmlns:vt="http://schemas.openxmlformats.org/officeDocument/2006/docPropsVTypes"/>
</file>