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Slimības, kuru ārstēšanai paredzēto zāļu un medicīnisko ierīču iegādes izdevumi tiek kompensēti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21.10.2014. noteikumu Nr. 652 redakcijā, kas grozīta ar MK 26.05.2015. noteikumiem Nr. 255; MK 08.12.2015. noteikumiem Nr. 706; MK 20.09.2016. noteikumiem Nr. 629; MK 04.01.2018. noteikumiem Nr. 12; MK 07.08.2018. noteikumiem Nr. 493; MK 23.04.2019. noteikumiem Nr. 179; MK 30.06.2020. noteikumiem Nr. 403; MK 29.09.2020. noteikumiem Nr. 611)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18.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gripa, ja vīruss nav identificēts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J11.0; J11.1; J11.8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Nepieciešamība imunizēt pret sezonālo gripu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Z25.1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personām vecumā no 65 gadiem;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pieaugušajiem, kuri pieder pie šādām veselības riska grupām: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plaušu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kardiovaskulārām slimībām neatkarīgi no to cēloņa;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vielmaiņas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nieru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imūndeficītu;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personas, kuras saņem imūnsupresīvu terapiju;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3) </w:t>
            </w:r>
            <w:r w:rsidR="00000000" w:rsidRPr="00000000" w:rsidDel="00000000">
              <w:rPr>
                <w:rtl w:val="0"/>
              </w:rPr>
              <w:t xml:space="preserve">(svītrots ar MK 23.04.2019. noteikumiem Nr. 179)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</w:t>
            </w:r>
            <w:r w:rsidR="00000000" w:rsidRPr="00000000" w:rsidDel="00000000">
              <w:rPr>
                <w:rtl w:val="0"/>
              </w:rPr>
              <w:t xml:space="preserve">(svītrots ar MK 23.04.2019. noteikumiem Nr. 179);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bērniem vecumā no 24 mēnešiem līdz 18 gadiem, kuri pieder pie šādām veselības riska grupām: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plaušu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kardiovaskulārām slimībām neatkarīgi no to cēloņa;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vielmaiņas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nieru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imūndeficītu;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bērni, kuri saņem imūnsupresīvu terapiju;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bērni, kuri ilgstoši saņem terapiju ar </w:t>
            </w:r>
            <w:r w:rsidR="00000000" w:rsidRPr="00000000" w:rsidDel="00000000">
              <w:rPr>
                <w:i w:val="1"/>
                <w:rtl w:val="0"/>
              </w:rPr>
              <w:t xml:space="preserve">ac. acetylsalicylicum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