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Segto obligāciju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Segto obligāciju likumā (Latvijas Vēstnesis, 2021, 110. nr.; 2023, 128.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39. pantu ar ceturto un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panta pirmajā daļā, šā likuma 44. panta trešajā daļā, 97. pantā un 103. panta pirmajā daļā minētās informācijas nodošanu Eiropas vienotajam piekļuves punktam.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Šā panta pirmajā daļā, šā likuma 97. pantā un 103. panta pirmajā daļā minēto informāciju Eiropas vienotajam piekļuves punktam sniedz regulas Nr. 2023/2859 2. panta 3. punktā noteiktajā formātā. Informācija satur regulas Nr. 2023/2859 7. panta 4. punkta "b" un "c" apakšpunktā minēto informāciju, tai skaitā visus tās kredītiestādes nosaukumus, kurai ir atļauts emitēt segtās obligācijas,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Emitents ieguldītājiem atklājamo informāciju par segto obligāciju programmu publicē savā tīmekļvietnē un vienlaikus iesniedz Latvijas Bankā visā segto obligāciju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Informāciju Latvijas Bankai sniedz regulas Nr. 2023/2859 2. panta 3. vai 4. punktā noteiktajā formātā. Informācija par segto obligāciju programmu satur regulas Nr. 2023/2859 7. panta 4. punkta "b", "c" un "d" apakšpunktā minēto informāciju, tai skaitā visus tās kredītiestādes nosaukumus, kurai ir atļauts emitēt segtās obligācijas,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3.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Šā likuma 39. panta ceturto un piekto daļu, kā arī 44. panta trešās daļas jauno redakciju un ceturto daļu piemēro, sākot ar 2030.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Informatīvajā atsaucē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atsauci uz Eiropas Savienības direktīvām ar 2.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informatīvās atsauces uz Eiropas Savienības direktīvām tekstu par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25-TA-2563</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25-TA-2563</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likumprojekts_(grozījumi)_25-TA-2563.docx</dc:title>
</cp:coreProperties>
</file>

<file path=docProps/custom.xml><?xml version="1.0" encoding="utf-8"?>
<Properties xmlns="http://schemas.openxmlformats.org/officeDocument/2006/custom-properties" xmlns:vt="http://schemas.openxmlformats.org/officeDocument/2006/docPropsVTypes"/>
</file>