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Zemu nodokļu vai beznodokļu valstu un teritoriju saraksts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Uzņēmumu ienākuma nodokļa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zemu nodokļu vai beznodokļu valstis un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Zemu nodokļu vai beznodokļu valstis un teritorijas ir ar Eiropas Savienības Padomes 2017. gada 5. decembra secinājumiem (I pielikuma aktuālā redakcija) apstiprinātās jurisdikcijas, kas nodokļu nolūkos nesadarbojas.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zemu nodokļu vai beznodokļu valstu un teritoriju sarakstu publicē oficiālajā izdevumā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Eiropas Savienības Padomes secinājumu par pārskatīto ES sarakstu ar jurisdikcijām, kas nodokļu nolūkos nesadarbojas, un to I pielikuma publicēšanas Eiropas Savienības Oficiālajā Vēstnesī, Finanšu ministrija nekavējoties paziņo par aktualizēto šo noteikumu 2. punktā minēto zemu nodokļu vai beznodokļu valstu un teritoriju sarakstu, nosūtot to publicēšanai oficiālajā izdevumā "Latvijas Vēstnesis" un publicējot Finanšu ministrijas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aktualizētais zemu nodokļu vai beznodokļu valstu un teritoriju saraksts ir piemērojams, sākot ar nākamā mēneša 1. datumu pēc tā publicēšanas oficiālajā izdevumā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Noteikumi stājas spēkā 2023.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zaudējušiem 2020. gada 17. decembra Ministru kabineta noteikumus Nr. 819 "</w:t>
      </w:r>
      <w:r w:rsidR="00000000" w:rsidRPr="00000000" w:rsidDel="00000000">
        <w:rPr>
          <w:rtl w:val="0"/>
        </w:rPr>
        <w:t xml:space="preserve">Noteikumi par zemu nodokļu vai beznodokļu valstīm un teritorijām</w:t>
      </w:r>
      <w:r w:rsidR="00000000" w:rsidRPr="00000000" w:rsidDel="00000000">
        <w:rPr>
          <w:rtl w:val="0"/>
        </w:rPr>
        <w:t xml:space="preserve">" (Latvijas Vēstnesis, 2020, 248. nr.; 2022, 9. nr.; 2022, 249.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23-TA-676</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23-TA-676</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noteikumu_projekts_23-TA-676.docx</dc:title>
</cp:coreProperties>
</file>

<file path=docProps/custom.xml><?xml version="1.0" encoding="utf-8"?>
<Properties xmlns="http://schemas.openxmlformats.org/officeDocument/2006/custom-properties" xmlns:vt="http://schemas.openxmlformats.org/officeDocument/2006/docPropsVTypes"/>
</file>