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janvārī (prot. Nr. 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Staiceles ielā 17–56,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43. pantu un 45. panta pirmo daļu atļaut Finanšu ministrijai nodot bez atlīdzības Rīgas valstspilsētas pašvaldības īpašumā valsts nekustamo īpašumu (nekustamā īpašuma kadastra Nr. 0100 901 6836) – dzīvokļa īpašumu Nr. 56 (telpu grupas kadastra apzīmējums 0100 070 2135 001 056) un kopīpašuma 2958/266893 domājamās daļas no daudzdzīvokļu dzīvojamās mājas (būves kadastra apzīmējums 0100 070 2135 001) – Staiceles ielā 17–56, Rīgā (turpmāk – dzīvokļa īpašums), lai saskaņā ar Pašvaldību likuma 4. panta pirmās daļas 10. punktu to izmantotu pašvaldības autonomās funkcijas īstenošanai – palīdzības sniegšanai iedzīvotājiem mājokļa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dzīvokļa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īpašumu tiesības uz dzīvokļa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dzīvokļa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dzīvokļa īpašumu ar hipotēku – nepiemēro, ja dzīvokļa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25-TA-2853</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25-TA-2853</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rīkojuma_projekts_25-TA-2853.docx</dc:title>
</cp:coreProperties>
</file>

<file path=docProps/custom.xml><?xml version="1.0" encoding="utf-8"?>
<Properties xmlns="http://schemas.openxmlformats.org/officeDocument/2006/custom-properties" xmlns:vt="http://schemas.openxmlformats.org/officeDocument/2006/docPropsVTypes"/>
</file>