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norādītajām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norādītajiem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šā pielikuma 0.2. kodā piešķirtā novērtējuma piemērojami šo noteikumu </w:t>
      </w:r>
      <w:r w:rsidR="00000000" w:rsidRPr="00000000" w:rsidDel="00000000">
        <w:rPr>
          <w:rtl w:val="0"/>
        </w:rPr>
        <w:t xml:space="preserve">23.</w:t>
      </w:r>
      <w:r w:rsidR="00000000" w:rsidRPr="00000000" w:rsidDel="00000000">
        <w:rPr>
          <w:rtl w:val="0"/>
        </w:rPr>
        <w:t xml:space="preserve"> punktā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apakšējo malu (ja numura zīmes augšējā mala atrodas augstāk par 1,2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0,2 m no ceļa virsmas, bet augšējā mala – augstāk par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Pirmoreiz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kordu vai ar kordu atsedzošu bojājumu vai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pirmoreiz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kuru pilna masa pārsniedz 3,5 t un kuri aprīkoti ar pneimatisku bremžu iekārtu, bremzēšanas efektivitāte tiek kontrolēta, izmantojot spiediena mērīšanu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paredzēti kravu pārvadāšanai un kuriem bremzēšanas efektivitāti kontrolē ar spiediena mērīšanu bremžu kontūros un iegūto rezultātu ekstrapolē, jābūt slogotiem ar kravu tā, lai faktiskās masas attiecība pret pilnu masu ir lielāka nekā 0,33.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pirmoreiz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 ja transportlīdzeklis pirmoreiz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darba bremžu bremzēšanas efektivitātes pārbaudi, izmantojot spiediena mērīšanu bremžu kontūros un iegūto rezultātu ekstrapolāciju, transportlīdzekļiem, kuru pilna masa pārsniedz 3,5 t, kuri aprīkoti ar pneimatisku bremžu iekārtu un ir paredzēti kravu pārvadāšanai, pārbaudes spiediena vērtībai jāsasniedz vismaz 30 % no izgatavotāja noteiktā bremžu sistēmas maksimāli projektētā spiediena vērtības. Ja transportlīdzeklim nav nosakāma izgatavotāja noteiktā maksimāli projektētā spiediena vērtība, pārbaudes spiedienam jāsasniedz vismaz: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- 1,95 bar – mehāniskajiem transportlīdzekļiem, kas pirmoreiz reģistrēti līdz 2011. gada 31. decembrim, un visām piekabēm un puspiekabēm;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bar – mehāniskajiem transportlīdzekļiem, kas pirmoreiz reģistrēti, sākot ar 2012.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sasniegts prasībās noteiktais pārbaudes spiediena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izmantojot šā pielikuma 1.2.1. kodā norādīto formulu.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izmantojot šā pielikuma 1.2.2. kodā norādīto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norādīta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pirmoreiz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stiklu tipu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pirmoreiz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un ierīču 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Atpakaļskata spoguļu vai ierīču uzstādīšanas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1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norādīti 4.1.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Transportlīdzekļos izmantojamo Eiropas tipa lukturu, atstarotāju un atstarojošo materiālu apzīmējumi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 F1; F2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(piemēram,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(piemēram,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noliekums pret horizontālu ceļa virsmu atkarībā no lukturu gaismu izstarojošās virsmas zemākā punkta attāluma līdz ceļa virsmai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kūlis shematiski attēlots 4.1.2.1.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divi tālās gaismas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300 000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pirmoreiz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pirmoreiz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izgatavotājs, šo attālumu var palielināt līdz 1700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papildu tālās gaismas lukturu pāri. Tālās gaismas lukturis ar gaismu izstarojošu virsmu vismaz 800 mm garas joslas veidā, kas novietots simetriski attiecībā pret transportlīdzekļa vidējo garenplakni un atrodas ne tālāk kā 400 mm no transportlīdzekļa ārmalas abās pusēs, uzskatāms par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 kas pirmoreiz reģistrēts, sākot ar 2012. gada 1. janvāri, izgatavotājs aprīkojis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pirmoreiz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pirmoreiz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pirmoreiz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pirmoreiz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pirmoreiz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 M1 kategorijas transportlīdzekļiem, kuru garums nepārsniedz 7 m, sānu gabarītlukturis var nebūt uzstādīts transportlīdzekļa vidējā trešdaļā un ir pietiekami, ja viens sānu gabarītlukturis ir uzstādīts ne tālāk kā 3 m no priekšas un viens – transportlīdzekļa garuma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pirmoreiz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pirmoreiz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pirmoreiz reģistrēti, sākot ar 2001. gada 1. janvāri un Latvijā pirmoreiz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pirmoreiz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pirmoreiz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pirmoreiz reģistrēts laikposmā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šā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4.5.2.1.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pirmoreiz reģistrētiem transportlīdzekļiem drīkst būt uzstādīti un transportlīdzekļiem, kas pirmoreiz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Automobiļiem un to piekabēm (puspiekabēm), kam aizmugurējais miglas lukturis ir grupēts ar jebkādu citu aizmugurējo lukturi, aizmugurējā miglas luktura gaismu izstarojošās virsmas zemākā punkta attālums līdz ceļam nedrīkst būt lielāks par 1200 mm. N2G, N3G, M2G, M3G kategorijas (paaugstinātas pārgājības) transportlīdzekļiem aizmugurējā miglas luktura gaismu izstarojošās virsmas zemākā punkta attālums līdz ceļam nedrīkst būt lielāks par 1400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pirmoreiz reģistrēti, sākot ar 1982. gada 1. janvāri, un O3, O4 kategorijas transportlīdzekļiem, kas pirmoreiz reģistrēti, sākot ar 2001. gada 1. janvāri, jābūt aprīkotiem ar vienu vai diviem atpakaļgaitas lukturiem [AR]. O2 kategorijas transportlīdzekļiem, kas pirmoreiz reģistrēti, sākot ar 2022. gada 1. janvāri, jābūt aprīkotiem ar vienu vai diviem atpakaļgaitas lukturiem.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(piemēram,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pirmoreiz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(piemēram,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pirmoreiz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pirmoreiz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pirmoreiz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M1 kategorijas transportlīdzekļiem, kuru garums nepārsniedz 7 m, sānu atstarotājs var nebūt uzstādīts transportlīdzekļa vidējā trešdaļā un ir pietiekami, ja viens sānu gabarītlukturis ir uzstādīts ne tālāk kā 3 m no priekšas un viens – transportlīdzekļa garuma pēdējā trešdaļā. Transportlīdzekļiem, kuru garums nepārsniedz 6 m, atļauts uzstādīt vienu sānu atstarotāju, kas atrodas transportlīdzekļa pirmajā un/vai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pirmoreiz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(transportlīdzekļiem, kam pieslēdzas, izmantojot transportlīdzekļa elektronisko saskarni) pieslēgvietas vai tā nedarbojas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pirmoreiz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pirmoreiz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izgatavošanas gads un nedēļa, riepas konstrukcijas veids, riepas nominālais loka diametrs, riepas slodzes indekss, riepas ātruma kategorija un ziemas riepām – apzīmējums "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norādīti 5.2.3.1. attēlā. Riepu marķējumā lietotie apzīmējumi norādīti 5.2.3.1., 5.2.3.2. un 5.2.3.3.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automobiļiem un to piekabēm (puspiekabēm)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marķējumos lietotie apzīmējumi L kategorijas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 kas konstruēta labākai saķerei ar dubļainu ceļu vai ceļa virsmu ar tikko uzsnigušu vai kūstošu sniegu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 kas īpaši konstruēta izmantošanai sniega vai ledus apstākļos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Radžu skaits un tehniskie parametri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(ziemas riepas, kas marķētas ar apzīmējumu "</w:t>
      </w:r>
      <w:r w:rsidR="00000000" w:rsidRPr="00000000" w:rsidDel="00000000">
        <w:drawing>
          <wp:inline distR="101600" distT="101600" distB="101600" distL="101600">
            <wp:extent cx="238125" cy="25717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238125" cy="257175"/>
                    </a:xfrm>
                    <a:prstGeom prst="rect"/>
                    <a:ln/>
                  </pic:spPr>
                </pic:pic>
              </a:graphicData>
            </a:graphic>
          </wp:inline>
        </w:drawing>
      </w:r>
      <w:r w:rsidR="00000000" w:rsidRPr="00000000" w:rsidDel="00000000">
        <w:rPr>
          <w:rtl w:val="0"/>
        </w:rPr>
        <w:t xml:space="preserve">", un riepas, kam nav šāda apzīmējuma);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kad CSN paredz obligātu ziemas riepu lietošanu, automobiļu, kuru pilna masa nepārsniedz 3,5 t, riteņiem jābūt aprīkotiem ar ziemas riepām, kas īpaši konstruētas izmantošanai sniega vai ledus apstākļos un marķētas ar apzīmējumu "</w:t>
      </w:r>
      <w:r w:rsidR="00000000" w:rsidRPr="00000000" w:rsidDel="00000000">
        <w:drawing>
          <wp:inline distR="101600" distT="101600" distB="101600" distL="101600">
            <wp:extent cx="238125" cy="2571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238125" cy="257175"/>
                    </a:xfrm>
                    <a:prstGeom prst="rect"/>
                    <a:ln/>
                  </pic:spPr>
                </pic:pic>
              </a:graphicData>
            </a:graphic>
          </wp:inline>
        </w:drawing>
      </w:r>
      <w:r w:rsidR="00000000" w:rsidRPr="00000000" w:rsidDel="00000000">
        <w:rPr>
          <w:rtl w:val="0"/>
        </w:rPr>
        <w:t xml:space="preserve">".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(5.2.3.2. att.) laikposmā, kad CSN neparedz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pirmoreiz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pirmoreiz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pirmoreiz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pirmoreiz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pirmoreiz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2" name="media/image52.JPG"/>
            <a:graphic>
              <a:graphicData uri="http://schemas.openxmlformats.org/drawingml/2006/picture">
                <pic:pic>
                  <pic:nvPicPr>
                    <pic:cNvPr id="52" name="media/image52.JPG"/>
                    <pic:cNvPicPr/>
                  </pic:nvPicPr>
                  <pic:blipFill>
                    <a:blip r:embed="rId52"/>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pirmoreiz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pirmoreiz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pirmoreiz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norādītas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pirmoreiz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norādīts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trijās rindkopās norādītās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norādīts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uzstādāmajām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konstrukcijas stiprību ietekmējoši bojājumi vai būtiska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pirmoreiz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3" name="media/image53.JPG"/>
            <a:graphic>
              <a:graphicData uri="http://schemas.openxmlformats.org/drawingml/2006/picture">
                <pic:pic>
                  <pic:nvPicPr>
                    <pic:cNvPr id="53" name="media/image53.JPG"/>
                    <pic:cNvPicPr/>
                  </pic:nvPicPr>
                  <pic:blipFill>
                    <a:blip r:embed="rId53"/>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40 cilpai ar buksi maksimālais ieliktņa iekšējais diametrs visā tā augstumā ir 41,5 mm, </w:t>
      </w:r>
      <w:r w:rsidR="00000000" w:rsidRPr="00000000" w:rsidDel="00000000">
        <w:drawing>
          <wp:inline distR="101600" distT="101600" distB="101600" distL="101600">
            <wp:extent cx="180975" cy="1714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80975" cy="171450"/>
                    </a:xfrm>
                    <a:prstGeom prst="rect"/>
                    <a:ln/>
                  </pic:spPr>
                </pic:pic>
              </a:graphicData>
            </a:graphic>
          </wp:inline>
        </w:drawing>
      </w:r>
      <w:r w:rsidR="00000000" w:rsidRPr="00000000" w:rsidDel="00000000">
        <w:rPr>
          <w:rtl w:val="0"/>
        </w:rPr>
        <w:t xml:space="preserve">50 cilpai ar buksi – 52 mm, </w:t>
      </w:r>
      <w:r w:rsidR="00000000" w:rsidRPr="00000000" w:rsidDel="00000000">
        <w:drawing>
          <wp:inline distR="101600" distT="101600" distB="101600" distL="101600">
            <wp:extent cx="180975" cy="1714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80975" cy="171450"/>
                    </a:xfrm>
                    <a:prstGeom prst="rect"/>
                    <a:ln/>
                  </pic:spPr>
                </pic:pic>
              </a:graphicData>
            </a:graphic>
          </wp:inline>
        </w:drawing>
      </w:r>
      <w:r w:rsidR="00000000" w:rsidRPr="00000000" w:rsidDel="00000000">
        <w:rPr>
          <w:rtl w:val="0"/>
        </w:rPr>
        <w:t xml:space="preserve">57,5 cilpai ar buksi – 59,5 mm. Pieļaujamā brīvkustība velkošā transportlīdzekļa "āķveida" sakabes ierīcē ar piekabes toroidālo (bez bukses) cilpu ir ne mazāka par 3 mm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norādīti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61" name="media/image61.JPG"/>
                  <a:graphic>
                    <a:graphicData uri="http://schemas.openxmlformats.org/drawingml/2006/picture">
                      <pic:pic>
                        <pic:nvPicPr>
                          <pic:cNvPr id="61" name="media/image61.JPG"/>
                          <pic:cNvPicPr/>
                        </pic:nvPicPr>
                        <pic:blipFill>
                          <a:blip r:embed="rId61"/>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pirmoreiz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norādītajam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 Kabīnes, virsbūves vai kravas nodalījuma sastāvdaļas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 nepieļaujami kabīnes, virsbūves vai kravas nodalījuma sastāvdaļu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Bagāžas nodalījuma pārsegam jābūt atveramam ar slēgierīces izgatavotāja paredzēto paņēmienu (piemēram, rokturi, pogu vai tālvadības pulti).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 Transportlīdzekļa durvis un pārsegus nav atļauts remontēt,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bagāžas nodalījuma pārsegs nav atverams ar slēgierīces izgatavotāja paredzēto paņēmienu;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 nepieļaujami durvju vai pārsega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pirmoreiz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pirmoreiz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norādītajām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pirmoreiz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aprīkošana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Uz transportlīdzekli, kam pārbūve par autobusu reģistrēta līdz 2003. gada 31. maijam, attiecināmas tādas pašas prasības kā uz B klases autobusu ar pilnu masu līdz 3,5 t, kas pirmoreiz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pirmoreiz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šā pielikuma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Riteņa atbalstķīļa izmēri atkarībā no riteņa rādiusa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pirmoreiz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pirmoreiz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Pieļaujamais trokšņa 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Pieļaujamās CO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pirmoreiz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pirmoreiz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pirmoreiz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pirmoreiz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pirmoreiz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pirmoreiz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pirmoreiz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izgatavotāja noteikto. Ja transportlīdzeklim nav nosakāma izgatavotāja noteiktā koeficienta </w:t>
      </w:r>
      <w:r w:rsidR="00000000" w:rsidRPr="00000000" w:rsidDel="00000000">
        <w:rPr>
          <w:i w:val="1"/>
          <w:rtl w:val="0"/>
        </w:rPr>
        <w:t xml:space="preserve">k</w:t>
      </w:r>
      <w:r w:rsidR="00000000" w:rsidRPr="00000000" w:rsidDel="00000000">
        <w:rPr>
          <w:rtl w:val="0"/>
        </w:rPr>
        <w:t xml:space="preserve"> vērtība un tas pirmoreiz reģistrēts, sākot ar 2017. gada 1. janvāri,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laikposmā no 2008. gada 1. jūlija līdz 2016. gada 31. decembrim, koeficienta </w:t>
      </w:r>
      <w:r w:rsidR="00000000" w:rsidRPr="00000000" w:rsidDel="00000000">
        <w:rPr>
          <w:i w:val="1"/>
          <w:rtl w:val="0"/>
        </w:rPr>
        <w:t xml:space="preserve">k</w:t>
      </w:r>
      <w:r w:rsidR="00000000" w:rsidRPr="00000000" w:rsidDel="00000000">
        <w:rPr>
          <w:rtl w:val="0"/>
        </w:rPr>
        <w:t xml:space="preserve">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pirmoreiz reģistrēts līdz 2008. gada 30. jūnijam, koeficienta </w:t>
      </w:r>
      <w:r w:rsidR="00000000" w:rsidRPr="00000000" w:rsidDel="00000000">
        <w:rPr>
          <w:i w:val="1"/>
          <w:rtl w:val="0"/>
        </w:rPr>
        <w:t xml:space="preserve">k</w:t>
      </w:r>
      <w:r w:rsidR="00000000" w:rsidRPr="00000000" w:rsidDel="00000000">
        <w:rPr>
          <w:rtl w:val="0"/>
        </w:rPr>
        <w:t xml:space="preserve">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atgāzu izplūdes sistēma aprīkota ar papildu cieto daļiņu filtru,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w:t>
      </w:r>
      <w:r w:rsidR="00000000" w:rsidRPr="00000000" w:rsidDel="00000000">
        <w:rPr>
          <w:i w:val="1"/>
          <w:rtl w:val="0"/>
        </w:rPr>
        <w:t xml:space="preserve">k</w:t>
      </w:r>
      <w:r w:rsidR="00000000" w:rsidRPr="00000000" w:rsidDel="00000000">
        <w:rPr>
          <w:rtl w:val="0"/>
        </w:rPr>
        <w:t xml:space="preserve"> robežvērtība konkrētajam transportlīdzeklim ir lielāka par šajā apakšpunktā minēto robežvērtību, koeficienta </w:t>
      </w:r>
      <w:r w:rsidR="00000000" w:rsidRPr="00000000" w:rsidDel="00000000">
        <w:rPr>
          <w:i w:val="1"/>
          <w:rtl w:val="0"/>
        </w:rPr>
        <w:t xml:space="preserve">k</w:t>
      </w:r>
      <w:r w:rsidR="00000000" w:rsidRPr="00000000" w:rsidDel="00000000">
        <w:rPr>
          <w:rtl w:val="0"/>
        </w:rPr>
        <w:t xml:space="preserve">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 VI/6" dīzeļmotoru atgāzu mērījumus brīvā paātrinājuma režīmā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w:t>
            </w:r>
            <w:r w:rsidR="00000000" w:rsidRPr="00000000" w:rsidDel="00000000">
              <w:rPr>
                <w:i w:val="1"/>
                <w:rtl w:val="0"/>
              </w:rPr>
              <w:t xml:space="preserve">k</w:t>
            </w:r>
            <w:r w:rsidR="00000000" w:rsidRPr="00000000" w:rsidDel="00000000">
              <w:rPr>
                <w:rtl w:val="0"/>
              </w:rPr>
              <w:t xml:space="preserve">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w:t>
            </w:r>
            <w:r w:rsidR="00000000" w:rsidRPr="00000000" w:rsidDel="00000000">
              <w:rPr>
                <w:i w:val="1"/>
                <w:rtl w:val="0"/>
              </w:rPr>
              <w:t xml:space="preserve">k</w:t>
            </w:r>
            <w:r w:rsidR="00000000" w:rsidRPr="00000000" w:rsidDel="00000000">
              <w:rPr>
                <w:rtl w:val="0"/>
              </w:rPr>
              <w:t xml:space="preserve">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 transportlīdzeklim ar "Euro VI/6" dīzeļmotoru pašdiagnostikas sistēma (OBD) uzrāda kļūdu atgāzu izplūdes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citos šā pielikuma kodos.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autobusa avārijas izeju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sēdekļiem, kas nostiprināti viens aiz otra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pirmoreiz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pirmoreiz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Pakāpienu maksimālais un minimālais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pirmoreiz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bremžu iekārtas atbilstību Direktīvas 71/320/EEK vai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Ženēvā 1957. gada 30. septembrī noslēgtā Eiropas valstu nolīguma par bīstamo kravu starptautiskajiem pārvadājumiem ar autotransportu (ADR), kam Latvija pievienojās saskaņā ar likumu par "Par Latvijas Republikas pievienošanos Eiropas valstu nolīgumam par bīstamo kravu starptautiskajiem pārvadājumiem ar autotransportu (ADR) un protokolam par grozījumiem nolīgumā" (turpmāk – ADR nolīgums), prasībām, to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šā pielikuma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pirmoreiz reģistrēti līdz 2018. gada 31. martam, jāatbilst līdz 2016. gada 31. decembrim piemērojamā ADR nolīguma 9.2.1. punkta tabulā norādītajām prasībām, un tiem izsniedz ADR sertifikātu, kas atbilst līdz 2016. gada 31. decembrim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ADR transportlīdzekļiem jābūt aprīkotiem ar kompresijas aizdedzes motoriem.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punkta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pārbaudes spiediens ir zemāks par 4 bāriem, apliecinājumam jāsatur informācija par ADR B pielikuma 9.7.5.2. punktā noteikto prasību izpildi, ja šāds transportlīdzeklis pirmoreiz reģistrēts, sākot ar 2003. gada 1. jūliju, vai ja pēc minētā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 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A pielikuma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šā pielikuma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transportlīdzekļus, ja tie pirmoreiz reģistrēti līdz 2018. gada 31. martam, jābūt aprīkotiem ar darbojošos bremžu pretbloķēšanas sistēmu (ABS), bet mehāniskajiem ADR transportlīdzekļiem, izņemot EX/II tipa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B pielikuma 9.2.4.3. un 9.2.4.5. apakšpunkta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transportlīdzekļa barošanas sistēmas sūknim.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norādīti 12.1.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kas pirmoreiz reģistrēts, sākot ar 2018. gada 1. aprīli, 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 kas pārvadā bīstamās kravas, jāaprīko ar ugunsdzēšanas aprīkojumu saskaņā ar ADR nolīguma B pielikuma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transportlīdzekļiem, kas pirmoreiz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tipu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izplūdes sistēmām jābūt konstruētām un izgatavotām tā, lai izdalītais siltums neapdraud kravu un nepalielina kravas nodalījuma iekšējās virsmas temperatūru augstāk par 80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pirmoreiz reģistrēti, sākot ar 1988. gada 1. janvāri, jābūt aprīkotiem ar ātruma ierobežošanas ierīci atbilstoši ANO EEK Noteikumu Nr. 89 vai ES Direktīvu 92/6/EEK un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transportlīdzekļiem, kas pirmoreiz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transportlīdzekļa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8" name="media/image68.JPG"/>
            <a:graphic>
              <a:graphicData uri="http://schemas.openxmlformats.org/drawingml/2006/picture">
                <pic:pic>
                  <pic:nvPicPr>
                    <pic:cNvPr id="68" name="media/image68.JPG"/>
                    <pic:cNvPicPr/>
                  </pic:nvPicPr>
                  <pic:blipFill>
                    <a:blip r:embed="rId68"/>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9" name="media/image69.JPG"/>
            <a:graphic>
              <a:graphicData uri="http://schemas.openxmlformats.org/drawingml/2006/picture">
                <pic:pic>
                  <pic:nvPicPr>
                    <pic:cNvPr id="69" name="media/image69.JPG"/>
                    <pic:cNvPicPr/>
                  </pic:nvPicPr>
                  <pic:blipFill>
                    <a:blip r:embed="rId69"/>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šā pielikuma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pirmoreiz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pirmoreiz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pirmoreiz reģistrēta, sākot ar 2001.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JPG" Type="http://schemas.openxmlformats.org/officeDocument/2006/relationships/image" Id="rId52"/><Relationship Target="media/image53.JP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JPG" Type="http://schemas.openxmlformats.org/officeDocument/2006/relationships/image" Id="rId61"/><Relationship Target="media/image62.JPG" Type="http://schemas.openxmlformats.org/officeDocument/2006/relationships/image" Id="rId62"/><Relationship Target="media/image63.PN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 Target="media/image68.JPG" Type="http://schemas.openxmlformats.org/officeDocument/2006/relationships/image" Id="rId68"/><Relationship Target="media/image69.JPG" Type="http://schemas.openxmlformats.org/officeDocument/2006/relationships/image" Id="rId6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noteikumu_konsolidētā_versija_p1_23-TA-3040.docx</dc:title>
</cp:coreProperties>
</file>

<file path=docProps/custom.xml><?xml version="1.0" encoding="utf-8"?>
<Properties xmlns="http://schemas.openxmlformats.org/officeDocument/2006/custom-properties" xmlns:vt="http://schemas.openxmlformats.org/officeDocument/2006/docPropsVTypes"/>
</file>