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Latvijas Bankas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</w:t>
      </w:r>
      <w:r w:rsidR="00000000" w:rsidRPr="00000000" w:rsidDel="00000000">
        <w:rPr>
          <w:rStyle w:val="paragraph"/>
          <w:rtl w:val="0"/>
        </w:rPr>
        <w:t xml:space="preserve">Latvijas Bankas likumā</w:t>
      </w:r>
      <w:r w:rsidR="00000000" w:rsidRPr="00000000" w:rsidDel="00000000">
        <w:rPr>
          <w:rStyle w:val="paragraph"/>
          <w:rtl w:val="0"/>
        </w:rPr>
        <w:t xml:space="preserve"> (Latvijas Vēstnesis, 2021, 193. nr.) šādu grozījumu: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tl w:val="0"/>
        </w:rPr>
        <w:t xml:space="preserve">Papildināt 79. pantu ar ceturto daļu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"(4) Latvijas Banka skaidrās naudas pārvadājuma un nekustamā īpašuma fiziskās drošības nodrošināšanā ir tiesīga iesaistīt Nacionālos bruņotos spēkus, ievērojot Nacionālo bruņoto spēku likumā noteiktās prasības."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2023. gada 1. janvārī.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biedrs, aizsardzības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Pabriks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21-TA-1782</w:t>
    </w:r>
    <w:r>
      <w:br/>
    </w:r>
    <w:r w:rsidR="00000000" w:rsidRPr="00000000" w:rsidDel="00000000">
      <w:rPr>
        <w:rtl w:val="0"/>
      </w:rPr>
      <w:t xml:space="preserve">Izdrukāts 30.07.2026. 00.07 - 1.0.VK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21-TA-1782</w:t>
    </w:r>
    <w:r>
      <w:br/>
    </w:r>
    <w:r w:rsidR="00000000" w:rsidRPr="00000000" w:rsidDel="00000000">
      <w:rPr>
        <w:rtl w:val="0"/>
      </w:rPr>
      <w:t xml:space="preserve">Izdrukāts 30.07.2026. 00.07 - 1.0.VK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likumprojekts_(grozījumi)_21-TA-1782.docx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