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sulas vai biezeņa saturs augļu nektāros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550"/>
        <w:gridCol w:w="1856"/>
        <w:tblGridChange w:id="0">
          <w:tblGrid>
            <w:gridCol w:w="993"/>
            <w:gridCol w:w="655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nektārā izmantotie augļi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sulas vai biezeņa saturs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(% no gatavā produkta tilpuma)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 ar skābu sulu, kurai dabiskā veidā ir nepatīkama garša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pasifloru augļi (</w:t>
            </w:r>
            <w:r w:rsidR="00000000" w:rsidRPr="00000000" w:rsidDel="00000000">
              <w:rPr>
                <w:i w:val="1"/>
                <w:rtl w:val="0"/>
              </w:rPr>
              <w:t xml:space="preserve">Passiflora edulis Sims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narandžila (</w:t>
            </w:r>
            <w:r w:rsidR="00000000" w:rsidRPr="00000000" w:rsidDel="00000000">
              <w:rPr>
                <w:i w:val="1"/>
                <w:rtl w:val="0"/>
              </w:rPr>
              <w:t xml:space="preserve">quito naranjillos</w:t>
            </w:r>
            <w:r w:rsidR="00000000" w:rsidRPr="00000000" w:rsidDel="00000000">
              <w:rPr>
                <w:rtl w:val="0"/>
              </w:rPr>
              <w:t xml:space="preserve">), (</w:t>
            </w:r>
            <w:r w:rsidR="00000000" w:rsidRPr="00000000" w:rsidDel="00000000">
              <w:rPr>
                <w:i w:val="1"/>
                <w:rtl w:val="0"/>
              </w:rPr>
              <w:t xml:space="preserve">Solanum quitoense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smiltsērkšķu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 (</w:t>
            </w:r>
            <w:r w:rsidR="00000000" w:rsidRPr="00000000" w:rsidDel="00000000">
              <w:rPr>
                <w:i w:val="1"/>
                <w:rtl w:val="0"/>
              </w:rPr>
              <w:t xml:space="preserve">Prunus domestika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zilās plūmes, cvečes (</w:t>
            </w:r>
            <w:r w:rsidR="00000000" w:rsidRPr="00000000" w:rsidDel="00000000">
              <w:rPr>
                <w:i w:val="1"/>
                <w:rtl w:val="0"/>
              </w:rPr>
              <w:t xml:space="preserve">Quetsch plum</w:t>
            </w:r>
            <w:r w:rsidR="00000000" w:rsidRPr="00000000" w:rsidDel="00000000">
              <w:rPr>
                <w:rtl w:val="0"/>
              </w:rPr>
              <w:t xml:space="preserve">), (</w:t>
            </w:r>
            <w:r w:rsidR="00000000" w:rsidRPr="00000000" w:rsidDel="00000000">
              <w:rPr>
                <w:i w:val="1"/>
                <w:rtl w:val="0"/>
              </w:rPr>
              <w:t xml:space="preserve">Prunus domestika </w:t>
            </w:r>
            <w:r w:rsidR="00000000" w:rsidRPr="00000000" w:rsidDel="00000000">
              <w:rPr>
                <w:rtl w:val="0"/>
              </w:rPr>
              <w:t xml:space="preserve">L.)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pīlādža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mežrožu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plūškoka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zīdkoka ogas un 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 (</w:t>
            </w:r>
            <w:r w:rsidR="00000000" w:rsidRPr="00000000" w:rsidDel="00000000">
              <w:rPr>
                <w:i w:val="1"/>
                <w:rtl w:val="0"/>
              </w:rPr>
              <w:t xml:space="preserve">Cydonia oblonga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citroni un laimi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šīs kategorijas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 ar zemu skābes saturu, ar mīkstumu vai izteiktām garšas īpašībām, kuru sulai dabiskā veidā ir nepatīkama garša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gvajaves (guavas) (</w:t>
            </w:r>
            <w:r w:rsidR="00000000" w:rsidRPr="00000000" w:rsidDel="00000000">
              <w:rPr>
                <w:i w:val="1"/>
                <w:rtl w:val="0"/>
              </w:rPr>
              <w:t xml:space="preserve">Psidium guajava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papaijas (</w:t>
            </w:r>
            <w:r w:rsidR="00000000" w:rsidRPr="00000000" w:rsidDel="00000000">
              <w:rPr>
                <w:i w:val="1"/>
                <w:rtl w:val="0"/>
              </w:rPr>
              <w:t xml:space="preserve">Carica papaya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ličī (lidži, līčijas) (</w:t>
            </w:r>
            <w:r w:rsidR="00000000" w:rsidRPr="00000000" w:rsidDel="00000000">
              <w:rPr>
                <w:i w:val="1"/>
                <w:rtl w:val="0"/>
              </w:rPr>
              <w:t xml:space="preserve">Litchi chinensis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vilkābeles augļi (</w:t>
            </w:r>
            <w:r w:rsidR="00000000" w:rsidRPr="00000000" w:rsidDel="00000000">
              <w:rPr>
                <w:i w:val="1"/>
                <w:rtl w:val="0"/>
              </w:rPr>
              <w:t xml:space="preserve">Crataegus azarolus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anona, skābā (</w:t>
            </w:r>
            <w:r w:rsidR="00000000" w:rsidRPr="00000000" w:rsidDel="00000000">
              <w:rPr>
                <w:i w:val="1"/>
                <w:rtl w:val="0"/>
              </w:rPr>
              <w:t xml:space="preserve">Annona muricata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anona, tīklainā (</w:t>
            </w:r>
            <w:r w:rsidR="00000000" w:rsidRPr="00000000" w:rsidDel="00000000">
              <w:rPr>
                <w:i w:val="1"/>
                <w:rtl w:val="0"/>
              </w:rPr>
              <w:t xml:space="preserve">Annona reticulata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anona, zvīņainā (</w:t>
            </w:r>
            <w:r w:rsidR="00000000" w:rsidRPr="00000000" w:rsidDel="00000000">
              <w:rPr>
                <w:i w:val="1"/>
                <w:rtl w:val="0"/>
              </w:rPr>
              <w:t xml:space="preserve">Annona squamosa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granātāboli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kešjukoka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spāņu plūme (spondija), sarkanā (</w:t>
            </w:r>
            <w:r w:rsidR="00000000" w:rsidRPr="00000000" w:rsidDel="00000000">
              <w:rPr>
                <w:i w:val="1"/>
                <w:rtl w:val="0"/>
              </w:rPr>
              <w:t xml:space="preserve">Spondias purpurea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Brazīlijas plūme (umbu) (</w:t>
            </w:r>
            <w:r w:rsidR="00000000" w:rsidRPr="00000000" w:rsidDel="00000000">
              <w:rPr>
                <w:i w:val="1"/>
                <w:rtl w:val="0"/>
              </w:rPr>
              <w:t xml:space="preserve">Spondias Tuberosa aroda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šīs kategorijas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Augļi, kuru sulai dabiskā veidā ir patīkama garša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citrusaugļi, izņemot citronus un laimus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ananāsi (ananasi)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šīs kategorijas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noteikumu_konsolidētā_versija_p2_24-TA-2227.docx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