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9. decembra noteikumos Nr. 1013 "Kārtība, kādā dzīvokļa īpašnieks daudzdzīvokļu dzīvojamā mājā norēķinās par pakalpojumiem, kas saistīti ar dzīvokļa īpašuma lietošanu"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un pašvaldību </w:t>
      </w:r>
      <w:r>
        <w:br/>
      </w:r>
      <w:r w:rsidR="00000000" w:rsidRPr="00000000" w:rsidDel="00000000">
        <w:rPr>
          <w:rStyle w:val="paragraph"/>
          <w:i w:val="1"/>
          <w:rtl w:val="0"/>
        </w:rPr>
        <w:t xml:space="preserve">dzīvojamo māju privatizāciju</w:t>
      </w:r>
      <w:r w:rsidR="00000000" w:rsidRPr="00000000" w:rsidDel="00000000">
        <w:rPr>
          <w:rStyle w:val="paragraph"/>
          <w:i w:val="1"/>
          <w:rtl w:val="0"/>
        </w:rPr>
        <w:t xml:space="preserve">” 50.panta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9. decembra noteikumos Nr. 1013 "Kārtība, kādā dzīvokļa īpašnieks daudzdzīvokļu dzīvojamā mājā norēķinās par pakalpojumiem, kas saistīti ar dzīvokļa īpašuma lietošanu" (Latvijas Vēstnesis, 2008, 197. nr.; 2013, 186. nr.; 2014, 220. nr.; 2019, 235. nr.; 2020, 65A., 78A.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Saskaņā ar likuma "Par valsts un pašvaldību dzīvojamo māju privatizāciju" 50. panta trešās daļas 2. punktu dzīvokļu īpašnieku kopība, pieņemot attiecīgu lēmumu, ir tiesīga mainīt gan šajos noteikumos, gan pārvaldnieka noteiktos kritērijus apmaksājamās daļas aprēķināšanai par dzīvojamās mājas uzturēšanai nepieciešamo pakalpojumu (piemēram, šo noteikumu 17.4., 17.5., 17.5.</w:t>
      </w:r>
      <w:r w:rsidR="00000000" w:rsidRPr="00000000" w:rsidDel="00000000">
        <w:rPr>
          <w:vertAlign w:val="superscript"/>
          <w:rtl w:val="0"/>
        </w:rPr>
        <w:t xml:space="preserve">1</w:t>
      </w:r>
      <w:r w:rsidR="00000000" w:rsidRPr="00000000" w:rsidDel="00000000">
        <w:rPr>
          <w:rtl w:val="0"/>
        </w:rPr>
        <w:t xml:space="preserve">, 17.6. apakšpunkts, 17.</w:t>
      </w:r>
      <w:r w:rsidR="00000000" w:rsidRPr="00000000" w:rsidDel="00000000">
        <w:rPr>
          <w:vertAlign w:val="superscript"/>
          <w:rtl w:val="0"/>
        </w:rPr>
        <w:t xml:space="preserve">1</w:t>
      </w:r>
      <w:r w:rsidR="00000000" w:rsidRPr="00000000" w:rsidDel="00000000">
        <w:rPr>
          <w:rtl w:val="0"/>
        </w:rPr>
        <w:t xml:space="preserve"> un 19. punkts) un šā pakalpojuma sniegšanas kārtību, kā arī nosacījumus, kuri saistīti ar šajos noteikumos noteikto pienākumu izpildi (piemēram, šo noteikumu 28., 29.</w:t>
      </w:r>
      <w:r w:rsidR="00000000" w:rsidRPr="00000000" w:rsidDel="00000000">
        <w:rPr>
          <w:vertAlign w:val="superscript"/>
          <w:rtl w:val="0"/>
        </w:rPr>
        <w:t xml:space="preserve">1</w:t>
      </w:r>
      <w:r w:rsidR="00000000" w:rsidRPr="00000000" w:rsidDel="00000000">
        <w:rPr>
          <w:rtl w:val="0"/>
        </w:rPr>
        <w:t xml:space="preserve">, 30. un 30.</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iepazīstināt katru dzīvokļa īpašnieku ar noslēgto pakalpojumu līgumu nosacījumiem par pakalpojumu piegādi attiecīgajai dzīvojamai mājai;".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informēt katru dzīvokļa īpašnieku mēnesi pirms gaidāmajām izmaiņām attiecīgo pakalpojumu piegādes līgumos, kā arī informēt par jau veiktajām izmaiņām tajos, minēto informāciju sniedzot mēneša laikā no grozījumu spēkā stāšanās dienas, ja ar attiecīgajiem grozījumiem mainīta: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pakalpojuma samaksas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pakalpojuma piegādes nosacījumi (piemēram, pakalpojuma sniegšanas biežums, siltumnesēja parametri);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kārtība, kādā tiek pārrēķināta samaksa par pakalpojumu, kas nav nodrošināts vai nav nodrošināts līgumā noteiktajā kvalitātē vai daudzumā;".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pēc pieprasījuma septiņu darbdienu laikā sniegt dzīvokļa īpašniekam informāciju, kas iekļauta pakalpojuma piegādes līgumā saskaņā ar normatīvajiem aktiem par siltumenerģijas piegādes un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pēc pieprasījuma septiņu darbdienu laikā sniegt dzīvokļa īpašniekam līguma kopsavilkuma informāciju, ietverot galvenos līguma nosacījumus, pakalpojumu sniegšanas cenas un tarifus."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Pārvaldniekam ir pienākums bez atsevišķas samaksas rēķinos par patērēto siltumenerģiju: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norādīt dzīvojamās mājas kopējo siltumenerģijas patēriņu norēķinu periodā (megavatstundās), kā arī uz dzīvokli, neapdzīvojamo telpu vai mākslinieka darbnīcu (turpmāk arī – atsevišķais īpašums) attiecināmo siltumenerģijas patēriņu norēķinu periodā (megavatstundās), atsevišķi norādot patērēto siltumenerģiju dzīvojamās mājas apsildei un karstā ūdens sagatavošanai;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reizi gadā norādīt: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2.1. dzīvojamās mājas kopējo siltumenerģijas patēriņu gadā (megavatstundās), kā arī uz atsevišķo īpašumu attiecināmo siltumenerģijas patēriņu gadā (megavatstundās), atsevišķi norādot patērēto siltumenerģiju dzīvojamās mājas apsildei un karstā ūdens sagatavošanai;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2.2. dzīvojamās mājas īpatnējo siltumenerģijas patēriņu uz mājas kopējo apkurināmo platību (tai skaitā koplietošanas telpām) (kilovatstundās uz kvadrātmetru gadā), kā arī dzīvojamās mājas īpatnējo siltumenerģijas patēriņu uz atsevišķā īpašuma platību (kilovatstundās uz kvadrātmetru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pēc pieprasījuma septiņu darbdienu laikā sniegt informāciju, kas iekļauta pakalpojuma piegādātāja rēķinā saskaņā ar normatīvajiem aktiem par siltumenerģijas piegādes un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Pārvaldniekam ir pienākums septiņu darbdienu laikā sniegt atbildi uz šo noteikumu 8. punktā minēto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Pārvaldnieks nodrošina, lai dzīvokļu īpašniekiem tiktu piedāvāta iespēja informāciju par pakalpojumu līgumiem, rēķinus un citu saistīto informāciju bez atsevišķas samaksas saņemt elektroniskā veidā, nodrošinot privātuma un datu aizsardzību saskaņā ar normatīvajiem aktiem, kas nosaka fizisko personu datu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Pārvaldnieks, sagatavojot informāciju rēķinam par komunālajiem pakalpojumiem un enerģijas patēriņu dzīvojamā mājā ar dalīto uzskaiti, iekļauj tajā arī pamatotas rēķina sagatavošanas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Ūdens patēriņu uzskaita, izmantojot skaitītājus: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kuriem ir veikta atbilstības novērtēšana saskaņā ar normatīvajiem aktiem par metroloģiskajām prasībām ūdens patēriņa skaitītājiem un mērīšanas līdzekļiem un to metroloģiskās kontroles kārtību, – pēc vienotas ūdens patēriņa uzskaites sistēmas ieviešanas dzīvojamā mājā, kas paredz vienotas prasības visiem ūdens patēriņa skaitītājiem (piemēram, to tehniskajiem parametriem, papildaprīkojumam un uzstādīšanai);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kuriem ir veikta atbilstības novērtēšana saskaņā ar normatīvajiem aktiem par metroloģiskajām prasībām ūdens patēriņa skaitītājiem un mērīšanas līdzekļiem un to metroloģiskās kontroles kārtību un kuri ir atkārtoti verificēti līdz brīdim, kad šādu pienākumu noteica normatīvie akti par valsts metroloģiskajai kontrolei pakļauto mērīšanas līdzekļu sarakstu, – līdz vienotas ūdens patēriņa uzskaites sistēmas ieviešanai dzīvojamā mājā."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Dzīvokļu īpašnieku kopība nosaka kārtību vienotai ūdens patēriņa uzskaites sistēmai (tai skaitā prasības ūdens patēriņa skaitītāju tehniskajiem parametriem, papildaprīkojumam un uzstādīšanai), ietverot kārtību, kādā pārvaldnieks vai cita pilnvarotā persona nodrošina ūdens patēriņa skaitītāju uzstādīšanu, nomaiņu un pārbaudi. Minētā kārtība ir vienota visā dzīvojamā mājā."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Pēc vienotas ūdens patēriņa uzskaites sistēmas ieviešanas dzīvojamā mājā skaitītājus nomaina, ievērojot ūdens patēriņa skaitītāja ražotāja instrukcijā minēto lietošanas ilgumu, bet, ja tāds nav noteikts, ne vēlāk kā 10 gadu laikā pēc to uzstādīšanas, skaitot no uzstādīšanas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14.</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14.</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5</w:t>
      </w:r>
      <w:r w:rsidR="00000000" w:rsidRPr="00000000" w:rsidDel="00000000">
        <w:rPr>
          <w:rtl w:val="0"/>
        </w:rPr>
        <w:t xml:space="preserve"> Pārvaldnieks vai cita persona, kura ir uzstādījusi vai nomainījusi ūdens patēriņa skaitītāju, noplombē skaitītāja pievienošanas vietu. Ja ūdens patēriņa skaitītāju uzstādījusi vai nomainījusi cita persona, pārvaldnieks var pieprasīt skaitītāja pievienošanas vietu noplombēt viņa klātbūtnē, par to iepriekš informējot. Ar to saistītās izmaksas pārvaldnieks ietver dzīvojamās mājas uzturēšanas un apsaimniekošanas izdevumos."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19. punktā minēto ūdens patēriņa starpības sadales kārtību nepiemēro un ūdens patēriņa starpību vai tās daļu sadala starp tiem dzīvokļu īpašniekiem, uz kuriem attiecas kāds no šiem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noteiktajā termiņā nav iesniegta informācija par ūdens patēriņa skaitītāja rādījumu vismaz trīs mēnešus pēc kārtas un saskaņā ar šo noteikumu 27. punktu nav noteikta cita rādījumu nolasīšanas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dzīvokļa īpašnieks nav ļāvis uzstādīt ūdens patēriņa skaitītāju, ja dzīvojamā mājā ir ieviesta vienota ūdens patēriņa uzskaites sistēma saskaņā ar šo noteikumu 14.1.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 atkārtoti nav ļauts veikt atsevišķajā īpašumā esošo ūdens patēriņa skaitītāju pārbaudi (šo noteikumu 10. punkts), ja par šādas pārbaudes veikšanu paziņots vismaz septiņas darbdienas iepriekš;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 ūdens patēriņa skaitītāju pārbaudē (šo noteikumu 10. punkts) konstatēts, ka ūdens patēriņa skaitītāja pievienošanas vieta nav noplombēta vai nav noplombēta pārvaldnieka klātbūtnē atbilstoši šiem noteikumiem vai ka ūdens patēriņa skaitītājs, tā metroloģiskais aizsargzīmogojums (plombējums) vai pievienošanas vietas plombējums ir bojāts vai patvarīgi aizstāts, vai noņemts, vai ietekmēta ūdens patēriņa skaitītāja 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 atkārtoti nav ļauts pārvaldniekam vai citai dzīvokļu īpašnieku kopības pilnvarotai personai veikt atsevišķajā īpašumā ūdens patēriņa skaitītāju uzstādīšanu vai nomaiņu vai nodrošināt tā verificēšanu pēc pārvaldnieka pieprasījuma (šo noteikumu 23. punkts), ja par šiem darbiem ir paziņots vismaz septiņas darbdienas iepriekš."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Pārvaldniekam ir tiesības pieprasīt, lai dzīvokļa īpašnieks nodrošina piekļuvi ūdens patēriņa skaitītājam, un par dzīvokļu īpašnieku kopības līdzekļiem nosūtīt to verificēšanai."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23.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uzstādītais skaitītājs neatbilst noteiktajām prasībām, izdevumus, kas saistīti ar tā pārbaudi vai pareizu uzstādīšanu, sedz attiecīgi dzīvokļa īpašnieks, pārvaldnieks vai pakalpojuma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Dzīvokļa īpašnieks pārvaldnieka noteiktajā kārtībā un termiņā katru mēnesi nolasa ūdens patēriņa skaitītāja rādījumu un nodod to pārvaldniekam aprēķinu veikšanai. Skaitītāja rādījumu nolasa pārvaldnieks vai cita dzīvokļu īpašnieku kopības pilnvarota persona, ja dzīvojamā mājā ir ierīkota attālinātā rādījumu nolasīšanas sistēma (ar atvērta tipa datu pārraides iespējām) vai ja piekļuve ūdens patēriņa skaitītājiem ir no dzīvojamās mājas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ir paredzama dzīvokļa īpašnieka prombūtne, kuras laikā atsevišķo īpašumu neizmantos neviena persona un netiks nodrošināta ūdens patēriņa skaitītāju rādījumu nolasīšana vai citu šajos noteikumos dzīvokļa īpašniekam vai pārvaldniekam, vai citai pilnvarotajai personai noteikto pienākumu izpilde, dzīvokļa īpašnieks vismaz septiņas darbdienas iepriekš par to informē pārvaldnieku, norādot prombūtnes laiku, kas nepārsniedz trīs mēnešus. Ja plānota prombūtne, ilgāka par trim mēnešiem, dzīvokļa īpašnieks atkārtoti par to informē pārvaldnieku."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ūdens patēriņa sadales aprēķinā trīs mēnešus pēc kārtas veidojas ūdens patēriņa starpība, kas ir lielāka par 20 %, pārvaldniekam ir pienākums divu mēnešu laikā noskaidrot ūdens patēriņa starpības rašanās iemeslus, informēt dzīvokļu īpašniekus par nepieciešamajiem pasākumiem ūdens patēriņa starpības samazināšanai un kopā ar dzīvokļu īpašniekiem izvērtēt iespēju tos īstenot. Ja pārvaldnieks šajā punktā noteiktos pienākumus nevar veikt divu mēnešu laikā, par to informē dzīvokļu īpašniekus, norādot plānoto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ūdens patēriņa sadales aprēķinā ūdens patēriņa starpība pārsniedz šo noteikumu 30. punktā minēto apjomu ilgāk par trim mēnešiem pēc kārtas (ieskaitot mēnesi pēc ūdensapgādes sistēmas apskates, ko pārvaldnieks veicis, lai noskaidrotu ūdens patēriņa starpības iemeslus), atkārtotu apskati pārvaldnieks veic divu mēnešu laikā, ja dzīvokļu īpašnieku kopība nav pieņēmusi lēmumu par ūdens patēriņa starpības samazināšanas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30.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 33.</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33.</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33.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33.</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 33.</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Šajos noteikumos minētās tiesības pārbaudīt atsevišķajā īpašumā uzstādīto ūdens patēriņa skaitītāju rādījumus, darbību un plombu tehnisko stāvokli, pieprasīt skaitītāja pirmstermiņa verificēšanas veikšanu vai nomaiņu, kā arī no šiem noteikumiem izrietošos pienākumus veikt ūdens patēriņa skaitītāju uzstādīšanu un nomaiņu atsevišķajos īpašumos, kā arī pienākumu pārvaldniekam noskaidrot ūdens patēriņa starpības rašanās iemeslus, ja pārbaudes paredzēts veikt atsevišķajos īpašumos, nepiemēro ārkārtējā situācijā, kuru Ministru kabinets izsludinājis saistībā ar epidēmiju vai pandēmiju."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36.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Visā dzīvojamā mājā vienotu kārtību, kādā nodrošina ūdens patēriņa skaitītāju uzstādīšanu, nomaiņu un pirmstermiņa verificēšanu dzīvoklī, nedzīvojamā telpā un mākslinieka darbnīcā, piemēro, ciktāl tā nav pretrunā ar šo noteikumu 35.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Ja ārkārtējās situācijas laikā, kuru Ministru kabinets izsludinājis saistībā ar epidēmiju vai pandēmiju, dzīvokļa īpašnieks nav iesniedzis informāciju par ūdens patēriņa skaitītāja rādījumu vai nevar iesniegt šo informāciju ūdens patēriņa skaitītāja darbības traucējumu dēļ, kā arī ja dzīvokļa īpašnieks šo noteikumu 28. punktā minētajā kārtībā nav informējis par prombūtni, ūdens patēriņu dzīvokļa īpašniekam aprēķina, ņemot vērā konkrētā atsevišķā īpašuma vidējo ūdens patēriņu par pēdējiem trim mēnešiem, kuros nav piemērots šo noteikumu 19.</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Šo noteikumu 19.</w:t>
      </w:r>
      <w:r w:rsidR="00000000" w:rsidRPr="00000000" w:rsidDel="00000000">
        <w:rPr>
          <w:vertAlign w:val="superscript"/>
          <w:rtl w:val="0"/>
        </w:rPr>
        <w:t xml:space="preserve">1</w:t>
      </w:r>
      <w:r w:rsidR="00000000" w:rsidRPr="00000000" w:rsidDel="00000000">
        <w:rPr>
          <w:rtl w:val="0"/>
        </w:rPr>
        <w:t xml:space="preserve"> punktu nepiemēro, ciktāl tas attiecas uz šo noteikumu 35. un 38. punktā minētajiem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Par vienotas ūdens patēriņa uzskaites sistēmas ieviešanu dzīvokļu īpašnieku kopība izlemj līdz 2027. gada 1. janvārim, ņemot vērā pārvaldnieka veikto izvērtējumu par ekonomisko pamatotību attālināti nolasāmo ūdens patēriņa skaitītāju uzstādīšanai, kas ietver atvērta tipa datu attālinātu nolasīšanu."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2023. gada 13. septembra Direktīvas (ES) 2023/1791 par energoefektivitāti un ar ko groza Regulu (ES) 2023/955 (pārstrādātā redakcija)."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25-TA-510</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25-TA-510</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noteikumu_(grozījumu)_projekts_25-TA-510.docx</dc:title>
</cp:coreProperties>
</file>

<file path=docProps/custom.xml><?xml version="1.0" encoding="utf-8"?>
<Properties xmlns="http://schemas.openxmlformats.org/officeDocument/2006/custom-properties" xmlns:vt="http://schemas.openxmlformats.org/officeDocument/2006/docPropsVTypes"/>
</file>