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21. maija noteikumos Nr. 303 "Valsts un Eiropas Savienības atbalsta piešķiršanas kārtība atklātu projektu konkursa veidā Eiropas lauksaimniecības fonda lauku attīstībai investīcijām materiālajos aktīvos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21. maija noteikumos Nr. 303 "Valsts un Eiropas Savienības atbalsta piešķiršanas kārtība atklātu projektu konkursa veidā Eiropas lauksaimniecības fonda lauku attīstībai investīcijām materiālajos aktīvos 2023.–2027. gada plānošanas periodā" (Latvijas Vēstnesis, 2024, 98.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lauku saimniecība, kuras kopējais neto apgrozījums vidēji pēdējos trijos noslēgtajos gados pirms pieteikšanās atbalstam ir vismaz 15 000 </w:t>
      </w:r>
      <w:r w:rsidR="00000000" w:rsidRPr="00000000" w:rsidDel="00000000">
        <w:rPr>
          <w:i w:val="1"/>
          <w:rtl w:val="0"/>
        </w:rPr>
        <w:t xml:space="preserve">euro </w:t>
      </w:r>
      <w:r w:rsidR="00000000" w:rsidRPr="00000000" w:rsidDel="00000000">
        <w:rPr>
          <w:rtl w:val="0"/>
        </w:rPr>
        <w:t xml:space="preserve">pēdējā noslēgtajā gadā, tai skaitā 4000 </w:t>
      </w:r>
      <w:r w:rsidR="00000000" w:rsidRPr="00000000" w:rsidDel="00000000">
        <w:rPr>
          <w:i w:val="1"/>
          <w:rtl w:val="0"/>
        </w:rPr>
        <w:t xml:space="preserve">euro</w:t>
      </w:r>
      <w:r w:rsidR="00000000" w:rsidRPr="00000000" w:rsidDel="00000000">
        <w:rPr>
          <w:rtl w:val="0"/>
        </w:rPr>
        <w:t xml:space="preserve"> lauksaimniecības nozarē, un nepārsniedz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18.1.3.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"18.1.3. sējumu, stādījumu kopšanas tehnika un iekārtas, arī mēslošanas un augu aizsardzības tehnika un iekārtas. Ja tiek iegādāts jauns miglotājs, smidzinātājs, minerālmēslu izkliedētājs, kūtsmēslu vai digestāta iestrādes aprīkojums, izņemot cieto kūtsmēslu izkliedēšanas tehniku, tas atbilst šo noteikumu 26.2. apakšpunktā minētajām precīzo tehnoloģiju izmantošanas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izmaksas par tādas lietotas tehnikas un iekārtu iegādi, kas nav vecākas par piecpadsmit gadiem (tehnikas un iekārtas vecumam jābūt pierādāmam un auditējamam) un ir paredzētas šo noteikumu 18.1.1., 18.1.2., 18.1.3., 18.1.4., 18.1.5. un 18.1.10. apakšpunktā minētajiem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šo noteikumu 18.3. un 18.4. apakšpunktā minētās izmaksas, kā arī stacionāro iekārtu iegādes un uzstādīšanas izmaksas. Papildus dārzkopības nozares kooperatīvām sabiedrībām - arī šo noteikumu 18.1.4. un 18.1.6. apakšpunktā minētās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izmaksas par kravu celšanas un kraušanas tehnikas, kravas automašīnu, piekabju, puspiekabju un tādu produkcijas pārvadāšanai paredzētu specializēto transportlīdzekļu iegādi, kuri ir konstruktīvi un rūpnieciski ražoti speciālas nozīmes kravu pārvadāšanai vai specifisku darbu izpildei un uz kuriem ir uzstādītas specifisko funkciju izpildei paredzētās iekārtas, – ne vairāk kā par divām vienībām no katras minētās pozīcijas plānošanas periodā, izņemot dārzkopības nozares kooperatīvās sabiedrības. Konvencionālās piena nozares un laukkopības nozares kooperatīvās sabiedrības ieguldījumi ir atbalstāmi, ja tajā projekta iesnieguma iesniegšanas brīdī ir vairāk nekā 60 biedru."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26.15.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"26.15. izmaksas par tehnikas un iekārtu iegādi virszemes pretsalnas aizsardzībai (pretsalnu laistīšana, gaisa maisīšanas torņi, miglas ģeneratori) un laistīšanai, pilienu laistīšanai ar precīzu mēslojuma un augu aizsardzības līdzekļu lietojumu, ūdens resursu efektīvai izmantošanai – ziemas un pavasara ūdens uzkrāšanai, atkārtotai izmantošanai, ūdenskrātuvju izveidei, dziļurbumu un spiču ierīkošanai, kā arī krusas aizsargtīkliem un lietus aizsargpārklājiem (mobilajiem jumtiem)."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"45.1. izmaksas par saules, vēja, ģeotermālo un citu atjaunīgās enerģijas veidu elektroenerģiju ražojošo, akumulējošo tehnoloģiju iegādi un uzstādīšanu;".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"49.4. kooperatīvā sabiedrība vai kooperatīvo sabiedrību apvienība, kas nodarbojas ar lauksaimniecības produktu pārstrādi vai plāno to uzsākt nodrošinot šo noteikumu 15.3. apakšpunktā minētā mērķa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 ne vēlāk kā trešajā noslēgtajā gadā pēc projekta īstenošanas un turpmāk visā uzraudzības periodā palielina kopējo iemaksāto nodokļu summu par katru nodarbināto pēc stāvokļa projekta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101.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 Šo noteikumu 107. punktā minēto maksimālo attiecināmo izmaksu apmēru samazina par to attiecināmo izmaksu apmēru, ko atbalsta pretendents un tā saistītās personas saņēmušas 2014.–2020. gada plānošanas perioda pārejas laikā 2021. un 2022. gadā pasākuma "Ieguldījumi materiālajos aktīvos" apakšpasākumā "Atbalsts ieguldījumiem lauku saimniecībās". Šo nosacījumu nepiemēro atbalsta pretendentam, kas paredz ieguldījumus šo noteikumu 1.3. un 1.4. apakšpunktā minētajā intervencē, kā arī preventīviem ieguldījumiem šo noteikumu 1.1. un 1.2. apakšpunktā minētajā intervencē atbilstoši šo noteikumu 26.15.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"113.6. iepirkuma procedūru apliecinošus dokumentus, tostarp iesniegtos piedāvājumus konkrētai iegādei. Būvniecības iepirkuma procedūras gadījumā apliecinošie dokumenti iesniedzami </w:t>
      </w:r>
      <w:r w:rsidR="00000000" w:rsidRPr="00000000" w:rsidDel="00000000">
        <w:rPr>
          <w:i w:val="1"/>
          <w:rtl w:val="0"/>
        </w:rPr>
        <w:t xml:space="preserve">Excel formātā</w:t>
      </w:r>
      <w:r w:rsidR="00000000" w:rsidRPr="00000000" w:rsidDel="00000000">
        <w:rPr>
          <w:rtl w:val="0"/>
        </w:rPr>
        <w:t xml:space="preserve">. Kopprojektu gadījumā tiek piemērota viena iepirkuma procedūra visiem kopprojekta dalībniekiem, izņemot gadījumus, kad tehnika un iekārtas tiek iegādātas atbilstoši tehnikas un iekārtu katalogam;".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113.7.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"113.7. informāciju par atbilstoši būvniecības jomu regulējošajiem normatīvajiem aktiem Būvniecības informācijas sistēmā reģistrētu būvniecības lietu, kā arī iepirkuma dokumentus, kas saistīti ar būvniecības izmaksām, ja darījumdarbības plānā plānota būvniecība vai būvmateriālu 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113.8.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"113.8. ja, īstenojot projektu, nepieciešams novērtējums saistībā ar normatīvajiem aktiem par ietekmes uz vidi novērtējumu, kopā ar projekta iesniegumu sešu mēnešu laikā pēc lēmuma pieņemšanas par projekta iesnieguma apstiprināšanu vai kopā ar būvprojektu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113.8.1. Valsts vides dienesta lēmumu par to, ka projektā paredzētajām darbībām ir veikts ietekmes sākotnējais izvērtējums, un 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113.8.2. 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113.9.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113.12.2.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"113.12.2. projekta īstenošanas laikā un visā uzraudzības periodā šo noteikumu 11.1. apakšpunktā minētie atbalsta pretendenti nodrošina derīgu sertifikātu iekšzemes kravas pašpārvadājumiem, ja projektā paredzēta transporta puspiekabes 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113.14.4.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113.14.6.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Ja projektā paredzēta būvniecība, būvju atjaunošana, pārbūve, būvmateriālu iegāde vai tādu stacionāro iekārtu un to aprīkojuma iegāde, kas norādīta atbilstoši būvniecības jomu regulējošajiem normatīvajiem aktiem Būvniecības informācijas sistēmā reģistrētu būvniecības lietā, kā arī iepirkuma dokumentus, kas saistīti ar būvniecības izmaksām, ja darījumdarbības plānā plānota būvniecība vai būvmateriālu iegāde, iesniedz kopā ar projekta iesniegumu vai sešu mēnešu laikā pēc lēmuma pieņemšanas par projekta iesnieguma apstiprināšanu, bet ne vēlāk kā piecu darbdienu laikā pēc iepirkuma procedūras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123.5.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"124.1. starp kopprojekta dalībniekiem noslēgtā līguma darbības termiņš ir vismaz septiņi gadi.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Iesniedz kopprojekta līgumu, kur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 Lauku atbalsta dienests iesniegtos projektu iesniegumus sarindo dilstošā secībā, atbilstoši punktu skaitam un norādītajiem projektu atlases kritērijiem,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 katrai šo noteikumu 1. punktā minētajai intervencei, kas noteikti saskaņā ar regulas (ES) 2021/2115 79.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130.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131.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Atbalstu par šo noteikumu 18.1. apakšpunktā, 26. punktā, 36.3. apakšpunktā, 45. punktā un 64.1. apakšpunktā minētajām attiecināmajām izmaksām par tehnikas, aprīkojuma un iekārtu iegādi piešķir, piemērojot šo noteikumu 3.11. apakšpunktā minēto tehnikas un iekārtu katalogu, bet to nepiemēro: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135.1. šo noteikumu 18.1.8., 18.1.22., 26.6.3., 26.6.4., 26.10., 26.12., 36.3.3., 64.1.3., 64.1.10. un 64.2. apakšpunktā minētajām attiecināmajām izmaksām, ja vien tās nav saistītas ar tehnikas un iekārtu funkcionalitāti;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135.2. ja atbalsta pretendents ir publisko iepirkumu likuma 1. panta 19. punktā minētais pasūtītājs."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 Projekta uzraudzības periods ir pieci gadi, sākot ar nākamo kalendāra gadu pēc tā īstenošanas. Uzraudzības periodu nepiemēro šo noteikumu 18.5. apakšpunktā minētajā gadījumā. Īsāks uzraudzības periods – trīs gadi, noteikts projektiem, kuros paredzēta lietotas tehnikas 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 149.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 157.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 158.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25-TA-851</w:t>
    </w:r>
    <w:r>
      <w:br/>
    </w:r>
    <w:r w:rsidR="00000000" w:rsidRPr="00000000" w:rsidDel="00000000">
      <w:rPr>
        <w:rtl w:val="0"/>
      </w:rPr>
      <w:t xml:space="preserve">Izdrukāts 29.07.2026. 22.42 - 1.0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25-TA-851</w:t>
    </w:r>
    <w:r>
      <w:br/>
    </w:r>
    <w:r w:rsidR="00000000" w:rsidRPr="00000000" w:rsidDel="00000000">
      <w:rPr>
        <w:rtl w:val="0"/>
      </w:rPr>
      <w:t xml:space="preserve">Izdrukāts 29.07.2026. 22.42 - 1.0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noteikumu_(grozījumu)_projekts_25-TA-851.docx</dc:title>
</cp:coreProperties>
</file>

<file path=docProps/custom.xml><?xml version="1.0" encoding="utf-8"?>
<Properties xmlns="http://schemas.openxmlformats.org/officeDocument/2006/custom-properties" xmlns:vt="http://schemas.openxmlformats.org/officeDocument/2006/docPropsVTypes"/>
</file>