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[25-TA-851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[25-TA-851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2024. gada 21. 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Atbalsta intensitāte (procentos no projekta attiecināmajiem izdevumiem) intervencēs LA 4.1.1., LA 4.1.2., LA 4.1.3., LA 4.1.4., LA 4.2. un LA 4.3.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71"/>
        <w:gridCol w:w="5259"/>
        <w:gridCol w:w="3160"/>
        <w:gridCol w:w="3160"/>
        <w:gridCol w:w="3160"/>
        <w:tblGridChange w:id="0">
          <w:tblGrid>
            <w:gridCol w:w="771"/>
            <w:gridCol w:w="5259"/>
            <w:gridCol w:w="3160"/>
            <w:gridCol w:w="3160"/>
            <w:gridCol w:w="3160"/>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Attiecināmo izmaksu veids</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pretendenta (tostarp kooperatīvās sabiedrības) kopējais apgrozījums (</w:t>
            </w:r>
            <w:r w:rsidR="00000000" w:rsidRPr="00000000" w:rsidDel="00000000">
              <w:rPr>
                <w:b w:val="1"/>
                <w:i w:val="1"/>
                <w:rtl w:val="0"/>
              </w:rPr>
              <w:t xml:space="preserve">euro</w:t>
            </w:r>
            <w:r w:rsidR="00000000" w:rsidRPr="00000000" w:rsidDel="00000000">
              <w:rPr>
                <w:b w:val="1"/>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4000–70 000</w:t>
            </w:r>
            <w:r w:rsidR="00000000" w:rsidRPr="00000000" w:rsidDel="00000000">
              <w:rPr>
                <w:b w:val="1"/>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70 001–350 000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vairāk par 350 000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intensitāte</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I. Intervence LA 4.1.1. "Atbalsts ieguldījumiem lauku saimniecībās konkurētspējai"</w:t>
            </w:r>
            <w:r w:rsidR="00000000" w:rsidRPr="00000000" w:rsidDel="00000000">
              <w:rPr>
                <w:b w:val="1"/>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 ilggadīgo stādījumu ierīkošana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lopkopības nozarē, kurā audzē zālēdājus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ieguldījumiem bioloģiskajās lauku saimniecībās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augļu, ogu, dārzeņu, augļkoku un ogulāju audzēšanas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Piekabes, agregātu, traktortehnikas (izņemot lauksaimniecībā izmantojamu traktoru),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Preventīvie ieguldījumi lauksaimniecības dzīvnieku un kultūraugu aizsardzībai pret savvaļas dzīvnieku postījumiem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aitkopības saimniecībām (žogu izbūve, sargsuņu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II. Intervence LA 4.1.2. "Atbalsts ieguldījumiem SEG un amonjaka emisijas samazinošajiem pasākumiem un klimata pārmaiņu mazināšanai un pielāgošanās pasākumu īstenošanai lauku saimniecībās"</w:t>
            </w:r>
            <w:r w:rsidR="00000000" w:rsidRPr="00000000" w:rsidDel="00000000">
              <w:rPr>
                <w:b w:val="1"/>
                <w:vertAlign w:val="superscript"/>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iekārtu un aprīkojuma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augļu, ogu, dārzeņu, augļkoku un ogulāju audzēšanas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Kūtsmēslu krātuves būvniecība vai pārbūve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Ilggadīgo stādījumu ierīkošana, klimata pārmaiņu pielāgošanās pasākumi (šo noteikumu 26.14. un 26.15.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ilggadīgo stādījumu ierīkošanai kūdras augsnēs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III. Intervence LA 4.1.3. "Atbalsts ieguldījumiem lauksaimniecības dzīvnieku labturības uzlabošanai un biodrošības pasākumu īstenošanai"</w:t>
            </w:r>
            <w:r w:rsidR="00000000" w:rsidRPr="00000000" w:rsidDel="00000000">
              <w:rPr>
                <w:sz w:val="20"/>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vai stacionāru iekārtu iegāde modernizēto sprostu sistēmu nomaiņai (tikai PVD reģistrētām saimniecībām)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tiek īstenots cūkkopības vai putnkopības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un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Biodrošības pasākumu īstenošana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IV. Intervence LA 4.1.4. "Atbalsts ieguldījumiem AER izmantošanai vai energoefektivitātes palielināšanai"</w:t>
            </w:r>
            <w:r w:rsidR="00000000" w:rsidRPr="00000000" w:rsidDel="00000000">
              <w:rPr>
                <w:b w:val="1"/>
                <w:vertAlign w:val="superscript"/>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gados jaunam lauksaimniekam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51"/>
        <w:gridCol w:w="6111"/>
        <w:gridCol w:w="2627"/>
        <w:tblGridChange w:id="0">
          <w:tblGrid>
            <w:gridCol w:w="451"/>
            <w:gridCol w:w="6111"/>
            <w:gridCol w:w="262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Attiecināmo izmaksu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Atbalsta intensitāte</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V. Intervence LA 4.2. "Atbalsts ieguldījumiem pārstrādē"</w:t>
            </w:r>
            <w:r w:rsidR="00000000" w:rsidRPr="00000000" w:rsidDel="00000000">
              <w:rPr>
                <w:b w:val="1"/>
                <w:vertAlign w:val="superscript"/>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atjaunošana, stacionāro iekārtu iegāde kopā ar būvniecību vai pārbūvi, kā arī tehnikas un iekārtu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par pārtikas kvalitātes shēmas produktu ražošanu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atbalsta pretendents ražo vismaz piecus pārtikas produktus, kas atbilst ieteicamo pārtikas produktu izvēles kritērijiem (saskaņā ar šo noteikumu 4. pielikumu)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līdz ar projekta īstenošanu tiek ieviesta inovācija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īstenojot projektu, pārstrādei (tostarp kooperatīvajās sabiedrībās vai kooperatīvo sabiedrību apvienībās, iepērkot no biedriem) vismaz 80 % apmērā tiek izmantota vietējā izejviela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tiek nodrošināta piena pārstrādes nozares uzņēmumu sadarbība kopīgu eksporta mērķu īstenošanai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eksportējošiem saimnieciskās darbības veicējiem (eksporta apjoms vismaz 15 %)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ir vērsts uz aprites ekonomikas principu ievērošanu – bezatlikumu tehnoloģijas izmantošanu pārstrādē vai videi saudzīga iepakojuma izmantošanu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atbalsta pretendentam (D kategorijas uzņēmums), kas veic ieguldījumus pārtikas drošības nodrošināšanā ārkārtas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Atbalsts ražotājiem, kas ražo mājas apstākļos, vai lauksaimniekiem, kas uzsāk vai veic pārstrādi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VI. Intervence LA 4.3. "Atbalsts ieguldījumiem lauksaimniecības un mežsaimniecības infrastruktūras attīstībā"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meliorācijas sistēmas un hidrotehniskās būves pārbūve un atjaunošana</w:t>
            </w:r>
            <w:r w:rsidR="00000000" w:rsidRPr="00000000" w:rsidDel="00000000">
              <w:rPr>
                <w:vertAlign w:val="superscript"/>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pārbūve un atjaunošana valsts nozīmes sistēmās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VII. Kooperatīvajām sabiedrībām vai kooperatīvo sabiedrību apvienībām intervencēs LA 4.1.1., LA 4.1.2., LA 4.1.4. vai LA 4.2.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pārbūve, stacionāro iekārtu iegāde kopā ar būvniecību vai pārbūvi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atbalsta intensitāte, ja projekts paredz ieguldījumus pārstrādē, tostarp vides piesārņojuma samazināšanas tehnoloģijās (attiecina uz attiecīgo ieguldījumu daļu)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stacionāro iekārtu (tostarp graudu kaltes) un aprīkojuma iegāde vai specializētā transporta un kravas automašīnu 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atbalsta intensitāte, ja projekts paredz ieguldījumus pārstrādē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ieguldījumus dārzkopības nozarē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piesārņojuma samazināšanas tehnoloģijās piena pārstrādē (attiecina uz attiecīgo ieguldījumu daļu)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Intervencē LA 4.1.1. "Atbalsts ieguldījumiem lauku saimniecībās konkurētspējai" mazo saimniecību grupā uz atbalstu var pretendēt lauku saimniecība, kuras kopējais neto apgrozījums pēdējā noslēgtajā gadā pirms pieteikšanās atbalsta saņemšanai ir no 15 000 līdz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Maksimālā atbalsta intensitāte intervencē nepārsniedz 50 %. Papildu atbalsta intensitāte paredzēta tikai būvniecībai, pārbūvei vai atjaunošanai. Gados jaunajiem lauksaimniekiem papildu atbalsta intensitāte tiek piemērota piecu gadu laikā kopš saimniecības dibināšanas (pārņemšanas) brīža.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Maksimālā atbalsta intensitāte intervencē nepārsniedz 50 %. Papildu atbalsta intensitāte paredzēta tikai būvniecībai, pārbūvei vai atjaunošanai gados jaunajiem lauksaimniekiem. Gados jaunajiem lauksaimniekiem papildu atbalsta intensitāte tiek piemērota piecu gadu laikā kopš saimniecības dibināšanas (pārņemšanas) brīža. Kūtsmēslu krātuves būvniecībai vai pārbūvei, kā arī ieguldījumiem ilggadīgo stādījumu ierīkošanai kūdras augsnēs maksimālā atbalsta intensitāte nepārsniedz 70 %.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Maksimālā atbalsta intensitāte intervencē nepārsniedz 50 %. Papildu atbalsta intensitāte paredzēta tikai būvniecībai, pārbūvei vai atjaunošanai. Gados jaunajiem lauksaimniekiem papildu atbalsta intensitāte tiek piemērota piecu gadu laikā kopš saimniecības dibināšanas (pārņemšanas) brīža. Biodrošības pasākumu īstenošanai maksimālā atbalsta intensitāte nepārsniedz 70 %.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Maksimālā atbalsta intensitāte intervencē nepārsniedz 50 %. Papildu atbalsta intensitāte paredzēta tikai būvniecībai, pārbūvei vai atjaunošanai. Gados jaunajiem lauksaimniekiem papildu atbalsta intensitāte tiek piemērota piecu gadu laikā kopš saimniecības dibināšanas (pārņemšanas) brīža. Atbalsta intensitāte valsts zinātniskajām institūcijām, kas veic lauksaimniecisko darbību, ir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Maksimālā atbalsta intensitāte intervencē nepārsniedz 50 %. Ja intervencē iesniegtajā projektā paredzamais galaprodukts nav minēts Līguma par Eiropas Savienības darbību I pielikumā, maksimālā atbalsta intensitāte tiek noteikta, ņemot vērā šo noteikumu 72. punktā minēto intensitāti.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w:t>
      </w:r>
      <w:r w:rsidR="00000000" w:rsidRPr="00000000" w:rsidDel="00000000">
        <w:rPr>
          <w:rtl w:val="0"/>
        </w:rPr>
        <w:t xml:space="preserve"> Intensitāte tiek piemērota pašvaldībai (arī pašvaldības kapitālsabiedrībai), kas īsteno pašvaldības nozīmes koplietošanas meliorācijas sistēmu un hidrotehnisko būvju pārbūvi vai atjaunošanu lauksaimniecības vai meža zemē, kā arī valsts zinātniskajai institūcijai, kas veic lauksaimniecisko darbību."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25-TA-851</w:t>
    </w:r>
    <w:r>
      <w:br/>
    </w:r>
    <w:r w:rsidR="00000000" w:rsidRPr="00000000" w:rsidDel="00000000">
      <w:rPr>
        <w:rtl w:val="0"/>
      </w:rPr>
      <w:t xml:space="preserve">Izdrukāts 29.07.2026. 22.42 - 1.0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25-TA-851</w:t>
    </w:r>
    <w:r>
      <w:br/>
    </w:r>
    <w:r w:rsidR="00000000" w:rsidRPr="00000000" w:rsidDel="00000000">
      <w:rPr>
        <w:rtl w:val="0"/>
      </w:rPr>
      <w:t xml:space="preserve">Izdrukāts 29.07.2026. 22.42 - 1.0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noteikumu_(grozījumu)_projekts_p_25-TA-851.docx</dc:title>
</cp:coreProperties>
</file>

<file path=docProps/custom.xml><?xml version="1.0" encoding="utf-8"?>
<Properties xmlns="http://schemas.openxmlformats.org/officeDocument/2006/custom-properties" xmlns:vt="http://schemas.openxmlformats.org/officeDocument/2006/docPropsVTypes"/>
</file>