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16. jūnija noteikumos Nr. 383 "Noteikumi par garantijām saimnieciskās darbības veicējiem konkurētspējas uzlabošanai""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26-TA-1120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