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interešu konflikta novēršanu valsts amatpersonu darbībā"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interešu konflikta novēršanu valsts amatpersonu darbībā" (Latvijas Republikas Saeimas un Ministru Kabineta Ziņotājs, 2002, 11. nr.; 2003, 12. nr.; 2006, 2., 20. nr.; 2007, 14. nr.; 2008, 24. nr.; 2009, 10., 24. nr.; Latvijas Vēstnesis, 2010, 94., 162. nr.; 2011, 76. nr.; 2012, 104. nr.; 2013, 6. nr.; 2014, 32., 38., 228. nr.; 2015, 107., 190., 251. nr.; 2016, 31., 123. nr.; 2018, 36., 216. nr.; 2019, 233. nr.; 2020, 123., 243. nr.; 2021, 22., 121.B nr.; 2022, 211.A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aiz vārda "ceturtajā" ar vārdu un skaitli "un 4.</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Publiski nepieejamā deklarācijas daļa ir deklarācijā norādītā informācija par amatu, kuru valsts amatpersona ieņem kā zemessargs, kā arī ienākumi, kurus valsts amatpersona guvusi, pildot dienestu Zemessardzē vai Nacionālo bruņoto spēku regulāro spēku vienībā atbilstoši līgumam par dienestu Zemessardzē."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biedra, aizsardzības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22-TA-1161</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22-TA-1161</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likumprojekts_(grozījumi)_22-TA-1161.docx</dc:title>
</cp:coreProperties>
</file>

<file path=docProps/custom.xml><?xml version="1.0" encoding="utf-8"?>
<Properties xmlns="http://schemas.openxmlformats.org/officeDocument/2006/custom-properties" xmlns:vt="http://schemas.openxmlformats.org/officeDocument/2006/docPropsVTypes"/>
</file>