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15. augusta noteikumos Nr. 463 "Programmas "Iespējkapitāla ieguldījumi"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14. punktu un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15. augusta noteikumos Nr. 463 "Programmas "Iespējkapitāla ieguldījumi" īstenošanas noteikumi" (Latvijas Vēstnesis, 2023, 160. nr.; 2024, 225. nr.; 2025, 207.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"2.1.4. tas (uzņēmumu grupas līmenī) nav uzskatāms par grūtībās nonākušu uzņēmumu saskaņā ar Komisijas regulas Nr. 651/2014 2. panta 18. punktu un ir iesniedzis apliecinājumu, ka tas (uzņēmumu grupas līmenī) neatbilst normatīvajos aktos noteiktajiem kritērijiem, lai tam pēc kreditoru pieprasījuma pieprasītu maksātnespējas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"2.4.2. tā (uzņēmumu grupas līmenī) nav uzskatāma par grūtībās nonākušu uzņēmumu saskaņā ar Komisijas regulas Nr. 651/2014 2. panta 18. punktu un ir iesniegusi apliecinājumu, ka tā (uzņēmumu grupas līmenī) neatbilst normatīvajos aktos noteiktajiem kritērijiem, lai tai pēc kreditoru pieprasījuma pieprasītu maksātnespējas procedūru;".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programmas īstenošanai, izņemot šo noteikumu 5.</w:t>
      </w:r>
      <w:r w:rsidR="00000000" w:rsidRPr="00000000" w:rsidDel="00000000">
        <w:rPr>
          <w:vertAlign w:val="superscript"/>
          <w:rtl w:val="0"/>
        </w:rPr>
        <w:t xml:space="preserve">2</w:t>
      </w:r>
      <w:r w:rsidR="00000000" w:rsidRPr="00000000" w:rsidDel="00000000">
        <w:rPr>
          <w:rtl w:val="0"/>
        </w:rPr>
        <w:t xml:space="preserve">2. apakšpunktā minēto mērķi, no 2030. gada 1. janvāra pieejams finansējums Eiropas Savienības struktūrfondu un Kohēzijas fonda 2014.–2020. gada plānošanas perioda darbības programmas "Izaugsme un nodarbinātība" 3.1.2. specifiskā atbalsta mērķa "Palielināt straujas izaugsmes komersantu skaitu" 3.1.2.1. pasākuma "Riska kapitāls" atmaksas līdz 4 500 000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programmas īstenošanai pieejams no garantijām saimnieciskās darbības veicējiem konkurētspējas uzlabošanai atbrīvotais atmaksu finansējums 7 000 000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Finanšu starpnieka pārvaldības maksa, kas aprēķināta un izmaksāta finanšu starpniekam investīciju periodā, ir attiecināma no šo noteikumu 5.1. apakšpunktā minētā finansējuma pilnā apmērā, ja investīciju periodā ir veikti ieguldījumi gala saņēmējos vismaz 70 % apmērā no attiecīgā fonda parakstītā kapitāla, kas paredzēts ieguldījumiem gala saņēmējos un kuram izmantots šo noteikumu 5.1. apakšpunktā minētais finansējums."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 Ja investīciju periodā ir veikti ieguldījumi gala saņēmējos mazāk nekā 70 % apmērā no katra attiecīgā fonda parakstītā kapitāla, kas paredzēts ieguldījumiem gala saņēmējos un kuram izmantots šo noteikumu 5.1. apakšpunktā minētais finansējums, tad finanšu starpnieka pārvaldības maksa, kas aprēķināta un izmaksāta finanšu starpniekam par investīciju periodu: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1. ir attiecināma proporcionāli no šo noteikumu 5.1. apakšpunktā minētā finansējuma, aprēķinot ieguldījumus gala saņēmējos pret paredzētajiem ieguldījumiem gala saņēmējos vismaz 70 % apmērā no attiecīgā fonda parakstītā kapitāla, kas paredzēts ieguldījumiem gala saņēmējos un kuram izmantots šo noteikumu 5.1. apakšpunktā minētais finansējums, ievērojot investīciju perioda efektīvo laiku;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2</w:t>
      </w:r>
      <w:r w:rsidR="00000000" w:rsidRPr="00000000" w:rsidDel="00000000">
        <w:rPr>
          <w:rtl w:val="0"/>
        </w:rPr>
        <w:t xml:space="preserve">2. ir attiecināma no šo noteikumu 5.2. un 5.3. apakšpunktā minētā finansējuma tādā apmērā, kas nav attiecināms šo noteikumu 5.</w:t>
      </w:r>
      <w:r w:rsidR="00000000" w:rsidRPr="00000000" w:rsidDel="00000000">
        <w:rPr>
          <w:vertAlign w:val="superscript"/>
          <w:rtl w:val="0"/>
        </w:rPr>
        <w:t xml:space="preserve">2</w:t>
      </w:r>
      <w:r w:rsidR="00000000" w:rsidRPr="00000000" w:rsidDel="00000000">
        <w:rPr>
          <w:rtl w:val="0"/>
        </w:rPr>
        <w:t xml:space="preserve">1. apakšpunkta ietvaros."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 Finanšu starpnieka pārvaldības maksai, ko sabiedrība Altum maksā finanšu starpniekam pēc investīciju perioda beigām, tiek piemērots pārvaldības maksas samazinājums, ja finanšu starpnieks nav ieguldījis vismaz 70 % no sabiedrības Altum parakstītā kapitāla. Ja 90 dienu laikā pēc investīciju perioda beigām finanšu starpnieks ir ieguldījis gala saņēmējos: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1. mazāk nekā 50 % no sabiedrības Altum parakstītā kapitāla, tad finanšu starpnieka pārvaldības maksai piemēro 50 % samazinājumu;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2. no 50,01 % līdz 60 % no sabiedrības Altum parakstītā kapitāla, tad finanšu starpnieka pārvaldības maksai piemēro 30 % samazinājumu;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3</w:t>
      </w:r>
      <w:r w:rsidR="00000000" w:rsidRPr="00000000" w:rsidDel="00000000">
        <w:rPr>
          <w:rtl w:val="0"/>
        </w:rPr>
        <w:t xml:space="preserve">3. no 60,01 % līdz 69,99 % no sabiedrības Altum parakstītā kapitāla, tad finanšu starpnieka pārvaldības maksai piemēro 10 % samazinājumu."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21.</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3. attiecībā uz Komisijas regulas Nr. 651/2014 21. panta 18. punkta "c" apakšpunktu jāpiesaista papildu finansējums no Komisijas regulas Nr. 651/2014 2. panta 72. punktā definētā neatkarīgā privātā ieguldītāja finanšu starpnieka vai gala saņēmēja, lai panāktu privātās līdzdalības kopējo īpatsvaru, kas sēklas kapitāla, sākuma kapitāla vai izaugsmes kapitāla ieguldījumu veidā gala saņēmējā mikrouzņēmumu, mazo un vidējo uzņēmumu grupas līmenī sasniedz: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3.1. vismaz 60 %, ja kā finansējuma avots tiek izmantots šo noteikumu 5.2. vai 5.3. apakšpunktā minētais finansējums atbalstam, kas sniegts ārpus Latvijas, vai atbalstam, kas sniegts Latvijā no 2028. gada 1. janvāra;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vertAlign w:val="superscript"/>
          <w:rtl w:val="0"/>
        </w:rPr>
        <w:t xml:space="preserve">1</w:t>
      </w:r>
      <w:r w:rsidR="00000000" w:rsidRPr="00000000" w:rsidDel="00000000">
        <w:rPr>
          <w:rtl w:val="0"/>
        </w:rPr>
        <w:t xml:space="preserve">3.2. vismaz 30 %, ja kā finansējuma avots tiek izmantots šo noteikumu 5.1., 5.2. vai 5.3. apakšpunktā minētais finansējums un atbalsts tiek sniegts Latvijā līdz 2027.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 darbībām un nozarēm, kas noteiktas Komisijas regulas Nr. 651/2014 1. panta 3. punkta "a", "b", "c" un "d" apakšpunktā atbilstoši Komisijas regulas Nr. 651/2014 2. panta 8., 10. un 11. punktā noteiktajām definīcijām un, ja uz komersantu (uzņēmumu grupas līmenī) attiecas neizpildīts līdzekļu atgūšanas rīkojums saskaņā ar iepriekšēju Eiropas Komisijas lēmumu, – atbilstoši Komisijas regulas Nr. 651/2014 1. panta 4. punkta "a"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44.2.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"44.2. informācijas publicēšanu par šo noteikumu ietvaros izsniegto atbalstu atbilstoši Komisijas regulas Nr. 651/2014 9. panta 1., 2. un 4. punktam, ievērojot normatīvo aktu par kārtību, kādā publicē informāciju par sniegto komercdarbības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26-TA-1000</w:t>
    </w:r>
    <w:r>
      <w:br/>
    </w:r>
    <w:r w:rsidR="00000000" w:rsidRPr="00000000" w:rsidDel="00000000">
      <w:rPr>
        <w:rtl w:val="0"/>
      </w:rPr>
      <w:t xml:space="preserve">Izdrukāts 08.09.2026. 15.17 - 1.0.VK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26-TA-1000</w:t>
    </w:r>
    <w:r>
      <w:br/>
    </w:r>
    <w:r w:rsidR="00000000" w:rsidRPr="00000000" w:rsidDel="00000000">
      <w:rPr>
        <w:rtl w:val="0"/>
      </w:rPr>
      <w:t xml:space="preserve">Izdrukāts 08.09.2026. 15.17 - 1.0.VK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noteikumu_(grozījumu)_projekts_26-TA-1000.docx</dc:title>
</cp:coreProperties>
</file>

<file path=docProps/custom.xml><?xml version="1.0" encoding="utf-8"?>
<Properties xmlns="http://schemas.openxmlformats.org/officeDocument/2006/custom-properties" xmlns:vt="http://schemas.openxmlformats.org/officeDocument/2006/docPropsVTypes"/>
</file>