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479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29. augustā (prot. Nr. 42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28. jūnija noteikumos Nr. 419 "Noteikumi par informācijas apmaiņas un uzraudzības kārtību Iekšējā tirgus informācijas sistēmas ietvaros, informācijas apmaiņā iesaistīto iestāžu atbildību un Eiropas profesionālās kartes izdošanas kārtību"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Brīvas pakalpojumu sniegšanas likuma</w:t>
      </w:r>
      <w:r w:rsidR="00000000" w:rsidRPr="00000000" w:rsidDel="00000000">
        <w:rPr>
          <w:rStyle w:val="paragraph"/>
          <w:i w:val="1"/>
          <w:rtl w:val="0"/>
        </w:rPr>
        <w:t xml:space="preserve"> 22. panta</w:t>
      </w:r>
      <w:r>
        <w:br/>
      </w:r>
      <w:r w:rsidR="00000000" w:rsidRPr="00000000" w:rsidDel="00000000">
        <w:rPr>
          <w:rStyle w:val="paragraph"/>
          <w:i w:val="1"/>
          <w:rtl w:val="0"/>
        </w:rPr>
        <w:t xml:space="preserve">otro daļu, likuma "</w:t>
      </w:r>
      <w:r w:rsidR="00000000" w:rsidRPr="00000000" w:rsidDel="00000000">
        <w:rPr>
          <w:rStyle w:val="paragraph"/>
          <w:i w:val="1"/>
          <w:rtl w:val="0"/>
        </w:rPr>
        <w:t xml:space="preserve">Par reglamentētajām profesijām</w:t>
      </w:r>
      <w:r>
        <w:br/>
      </w:r>
      <w:r w:rsidR="00000000" w:rsidRPr="00000000" w:rsidDel="00000000">
        <w:rPr>
          <w:rStyle w:val="paragraph"/>
          <w:i w:val="1"/>
          <w:rtl w:val="0"/>
        </w:rPr>
        <w:t xml:space="preserve">un profesionālās kvalifikācijas atzīšanu</w:t>
      </w:r>
      <w:r w:rsidR="00000000" w:rsidRPr="00000000" w:rsidDel="00000000">
        <w:rPr>
          <w:rStyle w:val="paragraph"/>
          <w:i w:val="1"/>
          <w:rtl w:val="0"/>
        </w:rPr>
        <w:t xml:space="preserve">" 36. panta</w:t>
      </w:r>
      <w:r>
        <w:br/>
      </w:r>
      <w:r w:rsidR="00000000" w:rsidRPr="00000000" w:rsidDel="00000000">
        <w:rPr>
          <w:rStyle w:val="paragraph"/>
          <w:i w:val="1"/>
          <w:rtl w:val="0"/>
        </w:rPr>
        <w:t xml:space="preserve">11. punktu un 56. panta pirmās daļas 2., 3., 4., 5., 6., 7. un 8.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28. jūnija noteikumos Nr. 419 "Noteikumi par informācijas apmaiņas un uzraudzības kārtību Iekšējā tirgus informācijas sistēmas ietvaros, informācijas apmaiņā iesaistīto iestāžu atbildību un Eiropas profesionālās kartes izdošanas kārtību" (Latvijas Vēstnesis, 2016, 134. nr.; 2019, 42., 133. nr.; 2021, 69. nr.; 2023, 19.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Informācijas apmaiņa IMI sistēmā notiek, izmantojot tīmekļvietni https://ec.europa.eu/internal_market/imi-net. Eiropas profesionālās kartes pieteikumu pretendents iesniedz tīmekļvietnē, kas pieejama ar tīmekļvietnes https://ec.europa.eu/epc starpniecību."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Nacionālais IMI sistēmas koordinators un piekļuves pārvaldnieks Latvijā ir Ekonomikas ministrija."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IMI sistēmas koordinatori atbilstoši kompetencei ir šādas iestādes: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 modulī "Informācijas pieprasījums (profesionālās kvalifikācijas)" – Izglītības un zinātnes ministrija un Zemkopības ministrija;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 modulī "Paziņojums (profesionālās kvalifikācijas veselības aprūpes jomā)" – Izglītības un zinātnes ministrija;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3. modulī "Informācijas pieprasījums (pakalpojumi)" – Aizsardzības ministrija, Ekonomikas ministrija, Finanšu ministrija, Iekšlietu ministrija, Izglītības un zinātnes ministrija, Kultūras ministrija, Labklājības ministrija, Rīgas valstspilsētas pašvaldība, Satiksmes ministrija, Tieslietu ministrija, Vides aizsardzības un reģionālās attīstības ministrija, Veselības ministrija, Zemkopības ministrija;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4. modulī "Brīdinājums (pakalpojumi)" – Ekonomikas ministrija, Kultūras ministrija, Patērētāju tiesību aizsardzības centrs, Veselības ministrija;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5. modulī "Paziņojums (pakalpojumi)" – Aizsardzības ministrija, Būvniecības valsts kontroles birojs, Ekonomikas ministrija, Iekšlietu ministrija, Labklājības ministrija;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6. modulī "Informācijas pieprasījums (darba ņēmēju norīkošana)" – Labklājības ministrija;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7. modulī "Iespējamu pārkāpumu paziņošana (darbinieku norīkojumi)" – Valsts darba inspekcija;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8. modulī "Pieprasījums paziņot lēmumu (darbinieku norīkošana)" – Valsts darba inspekcija;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9. modulī "Pieprasījums ar mērķi atgūt sankciju/naudas sodu (darbinieku norīkošana)" – Valsts darba inspekcija;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10. modulī "Informācijas pieprasījums (pacientu tiesības)" – Veselības ministrija;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11. modulī "SOLVIT – gadījumu izskatīšana" – Ekonomikas ministrija;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12. modulī "Informācijas pieprasījums (kultūras priekšmeti)" – Nacionālā kultūras mantojuma pārvalde;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13. modulī "Paziņojums (kultūras priekšmeti)" – Nacionālā kultūras mantojuma pārvalde;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14. modulī "EPC (Eiropas profesionālā karte – EPC pieprasījumi)" – Izglītības un zinātnes ministrija;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15. modulī "EPC (Eiropas profesionālā karte – valsts prasību paziņojums)" – Akadēmiskās informācijas centrs, Izglītības un zinātnes ministrija;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16. modulī "Tipa apstiprinājumi (autoceļiem neparedzēta mobilā tehnika)" – sabiedrība ar ierobežotu atbildību "Sertifikācijas un testēšanas centrs";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17. moduļos saskaņā ar Eiropas Parlamenta un Padomes 2016. gada 27. aprīļa Regulas (ES) Nr. 2016/679 par fizisku personu aizsardzību attiecībā uz personas datu apstrādi un šādu datu brīvu apriti un ar ko atceļ Direktīvu 95/46/EK (Vispārīgā datu aizsardzības regula), 56., 60., 61., 62., 64., 65. un 66. pantu – Datu valsts inspekcija;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18. modulī "Publiski dokumenti. Informācijas pieprasījums (par dokumentu autentiskumu)" – Iekšlietu ministrija, Tieslietu ministrija;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19. modulī "Šaujamieroči – Atļauju paziņošana" – Valsts policija;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20. modulī "CPC – Savstarpējas palīdzības lūgums" – Patērētāju tiesību aizsardzības centrs;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21. modulī "CPC – Ar paziņojumiem saistīts lūgums" – Patērētāju tiesību aizsardzības centrs;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22. modulī "CPC – Koordinēta rīcība" – Patērētāju tiesību aizsardzības centrs;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23. modulī "CPC – Koordinētas rīcības uzsākšana" – Patērētāju tiesību aizsardzības centrs;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24. modulī "CPC – Ārējie brīdinājumi" – Patērētāju tiesību aizsardzības centrs;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25. modulī "CPC – Brīdinājumi" – Patērētāju tiesību aizsardzības centrs;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26. modulī "ETSTCK – Pieprasījumi (Eiropas Tiesiskās sadarbības tīkls)" – Tieslietu ministrija;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27. modulī "Autotransports – Deklarācija par norīkošanu darbā" – Valsts darba inspekcija, Valsts policija, Valsts robežsardze, valsts sabiedrība ar ierobežotu atbildību "Autotransporta direkcija";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28. modulī "Autotransports – Uzņēmējdarbības veikšanas nosacījumi" – Valsts policija, valsts sabiedrība ar ierobežotu atbildību "Autotransporta direkcija";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29. modulī "Autotransports – Sociālie noteikumi" – Valsts policija, valsts sabiedrība ar ierobežotu atbildību "Autotransporta direkcija";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30. modulī "Autotransports – Paziņojums par sociālajiem noteikumiem" – Valsts policija, valsts sabiedrība ar ierobežotu atbildību "Autotransporta direkcija"."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IMI sistēmas piekļuves pārvaldnieki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1. Iekšlietu ministrija atbilstoši šo noteikumu 7.</w:t>
      </w:r>
      <w:r w:rsidR="00000000" w:rsidRPr="00000000" w:rsidDel="00000000">
        <w:rPr>
          <w:vertAlign w:val="superscript"/>
          <w:rtl w:val="0"/>
        </w:rPr>
        <w:t xml:space="preserve">1</w:t>
      </w:r>
      <w:r w:rsidR="00000000" w:rsidRPr="00000000" w:rsidDel="00000000">
        <w:rPr>
          <w:rtl w:val="0"/>
        </w:rPr>
        <w:t xml:space="preserve">3., 7.</w:t>
      </w:r>
      <w:r w:rsidR="00000000" w:rsidRPr="00000000" w:rsidDel="00000000">
        <w:rPr>
          <w:vertAlign w:val="superscript"/>
          <w:rtl w:val="0"/>
        </w:rPr>
        <w:t xml:space="preserve">1</w:t>
      </w:r>
      <w:r w:rsidR="00000000" w:rsidRPr="00000000" w:rsidDel="00000000">
        <w:rPr>
          <w:rtl w:val="0"/>
        </w:rPr>
        <w:t xml:space="preserve">5. un 7.</w:t>
      </w:r>
      <w:r w:rsidR="00000000" w:rsidRPr="00000000" w:rsidDel="00000000">
        <w:rPr>
          <w:vertAlign w:val="superscript"/>
          <w:rtl w:val="0"/>
        </w:rPr>
        <w:t xml:space="preserve">1</w:t>
      </w:r>
      <w:r w:rsidR="00000000" w:rsidRPr="00000000" w:rsidDel="00000000">
        <w:rPr>
          <w:rtl w:val="0"/>
        </w:rPr>
        <w:t xml:space="preserve">18. apakšpunktā minētajai kompetencei;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2. Izglītības un zinātnes ministrija atbilstoši šo noteikumu 7.</w:t>
      </w:r>
      <w:r w:rsidR="00000000" w:rsidRPr="00000000" w:rsidDel="00000000">
        <w:rPr>
          <w:vertAlign w:val="superscript"/>
          <w:rtl w:val="0"/>
        </w:rPr>
        <w:t xml:space="preserve">1</w:t>
      </w:r>
      <w:r w:rsidR="00000000" w:rsidRPr="00000000" w:rsidDel="00000000">
        <w:rPr>
          <w:rtl w:val="0"/>
        </w:rPr>
        <w:t xml:space="preserve">1., 7.</w:t>
      </w:r>
      <w:r w:rsidR="00000000" w:rsidRPr="00000000" w:rsidDel="00000000">
        <w:rPr>
          <w:vertAlign w:val="superscript"/>
          <w:rtl w:val="0"/>
        </w:rPr>
        <w:t xml:space="preserve">1</w:t>
      </w:r>
      <w:r w:rsidR="00000000" w:rsidRPr="00000000" w:rsidDel="00000000">
        <w:rPr>
          <w:rtl w:val="0"/>
        </w:rPr>
        <w:t xml:space="preserve">2., 7.</w:t>
      </w:r>
      <w:r w:rsidR="00000000" w:rsidRPr="00000000" w:rsidDel="00000000">
        <w:rPr>
          <w:vertAlign w:val="superscript"/>
          <w:rtl w:val="0"/>
        </w:rPr>
        <w:t xml:space="preserve">1</w:t>
      </w:r>
      <w:r w:rsidR="00000000" w:rsidRPr="00000000" w:rsidDel="00000000">
        <w:rPr>
          <w:rtl w:val="0"/>
        </w:rPr>
        <w:t xml:space="preserve">3., 7.</w:t>
      </w:r>
      <w:r w:rsidR="00000000" w:rsidRPr="00000000" w:rsidDel="00000000">
        <w:rPr>
          <w:vertAlign w:val="superscript"/>
          <w:rtl w:val="0"/>
        </w:rPr>
        <w:t xml:space="preserve">1</w:t>
      </w:r>
      <w:r w:rsidR="00000000" w:rsidRPr="00000000" w:rsidDel="00000000">
        <w:rPr>
          <w:rtl w:val="0"/>
        </w:rPr>
        <w:t xml:space="preserve">14. un 7.</w:t>
      </w:r>
      <w:r w:rsidR="00000000" w:rsidRPr="00000000" w:rsidDel="00000000">
        <w:rPr>
          <w:vertAlign w:val="superscript"/>
          <w:rtl w:val="0"/>
        </w:rPr>
        <w:t xml:space="preserve">1</w:t>
      </w:r>
      <w:r w:rsidR="00000000" w:rsidRPr="00000000" w:rsidDel="00000000">
        <w:rPr>
          <w:rtl w:val="0"/>
        </w:rPr>
        <w:t xml:space="preserve">15. apakšpunktā minētajai kompetencei;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3. Patērētāju tiesību aizsardzības centrs atbilstoši šo noteikumu 7.</w:t>
      </w:r>
      <w:r w:rsidR="00000000" w:rsidRPr="00000000" w:rsidDel="00000000">
        <w:rPr>
          <w:vertAlign w:val="superscript"/>
          <w:rtl w:val="0"/>
        </w:rPr>
        <w:t xml:space="preserve">1</w:t>
      </w:r>
      <w:r w:rsidR="00000000" w:rsidRPr="00000000" w:rsidDel="00000000">
        <w:rPr>
          <w:rtl w:val="0"/>
        </w:rPr>
        <w:t xml:space="preserve">4., 7.</w:t>
      </w:r>
      <w:r w:rsidR="00000000" w:rsidRPr="00000000" w:rsidDel="00000000">
        <w:rPr>
          <w:vertAlign w:val="superscript"/>
          <w:rtl w:val="0"/>
        </w:rPr>
        <w:t xml:space="preserve">1</w:t>
      </w:r>
      <w:r w:rsidR="00000000" w:rsidRPr="00000000" w:rsidDel="00000000">
        <w:rPr>
          <w:rtl w:val="0"/>
        </w:rPr>
        <w:t xml:space="preserve">20., 7.</w:t>
      </w:r>
      <w:r w:rsidR="00000000" w:rsidRPr="00000000" w:rsidDel="00000000">
        <w:rPr>
          <w:vertAlign w:val="superscript"/>
          <w:rtl w:val="0"/>
        </w:rPr>
        <w:t xml:space="preserve">1</w:t>
      </w:r>
      <w:r w:rsidR="00000000" w:rsidRPr="00000000" w:rsidDel="00000000">
        <w:rPr>
          <w:rtl w:val="0"/>
        </w:rPr>
        <w:t xml:space="preserve">21., 7.</w:t>
      </w:r>
      <w:r w:rsidR="00000000" w:rsidRPr="00000000" w:rsidDel="00000000">
        <w:rPr>
          <w:vertAlign w:val="superscript"/>
          <w:rtl w:val="0"/>
        </w:rPr>
        <w:t xml:space="preserve">1</w:t>
      </w:r>
      <w:r w:rsidR="00000000" w:rsidRPr="00000000" w:rsidDel="00000000">
        <w:rPr>
          <w:rtl w:val="0"/>
        </w:rPr>
        <w:t xml:space="preserve">22., 7.</w:t>
      </w:r>
      <w:r w:rsidR="00000000" w:rsidRPr="00000000" w:rsidDel="00000000">
        <w:rPr>
          <w:vertAlign w:val="superscript"/>
          <w:rtl w:val="0"/>
        </w:rPr>
        <w:t xml:space="preserve">1</w:t>
      </w:r>
      <w:r w:rsidR="00000000" w:rsidRPr="00000000" w:rsidDel="00000000">
        <w:rPr>
          <w:rtl w:val="0"/>
        </w:rPr>
        <w:t xml:space="preserve">23., 7.</w:t>
      </w:r>
      <w:r w:rsidR="00000000" w:rsidRPr="00000000" w:rsidDel="00000000">
        <w:rPr>
          <w:vertAlign w:val="superscript"/>
          <w:rtl w:val="0"/>
        </w:rPr>
        <w:t xml:space="preserve">1</w:t>
      </w:r>
      <w:r w:rsidR="00000000" w:rsidRPr="00000000" w:rsidDel="00000000">
        <w:rPr>
          <w:rtl w:val="0"/>
        </w:rPr>
        <w:t xml:space="preserve">24. un 7.</w:t>
      </w:r>
      <w:r w:rsidR="00000000" w:rsidRPr="00000000" w:rsidDel="00000000">
        <w:rPr>
          <w:vertAlign w:val="superscript"/>
          <w:rtl w:val="0"/>
        </w:rPr>
        <w:t xml:space="preserve">1</w:t>
      </w:r>
      <w:r w:rsidR="00000000" w:rsidRPr="00000000" w:rsidDel="00000000">
        <w:rPr>
          <w:rtl w:val="0"/>
        </w:rPr>
        <w:t xml:space="preserve">25. apakšpunktā minētajai kompetencei;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4. Tieslietu ministrija atbilstoši šo noteikumu 7.</w:t>
      </w:r>
      <w:r w:rsidR="00000000" w:rsidRPr="00000000" w:rsidDel="00000000">
        <w:rPr>
          <w:vertAlign w:val="superscript"/>
          <w:rtl w:val="0"/>
        </w:rPr>
        <w:t xml:space="preserve">1</w:t>
      </w:r>
      <w:r w:rsidR="00000000" w:rsidRPr="00000000" w:rsidDel="00000000">
        <w:rPr>
          <w:rtl w:val="0"/>
        </w:rPr>
        <w:t xml:space="preserve">3., 7.</w:t>
      </w:r>
      <w:r w:rsidR="00000000" w:rsidRPr="00000000" w:rsidDel="00000000">
        <w:rPr>
          <w:vertAlign w:val="superscript"/>
          <w:rtl w:val="0"/>
        </w:rPr>
        <w:t xml:space="preserve">1</w:t>
      </w:r>
      <w:r w:rsidR="00000000" w:rsidRPr="00000000" w:rsidDel="00000000">
        <w:rPr>
          <w:rtl w:val="0"/>
        </w:rPr>
        <w:t xml:space="preserve">18. un 7.</w:t>
      </w:r>
      <w:r w:rsidR="00000000" w:rsidRPr="00000000" w:rsidDel="00000000">
        <w:rPr>
          <w:vertAlign w:val="superscript"/>
          <w:rtl w:val="0"/>
        </w:rPr>
        <w:t xml:space="preserve">1</w:t>
      </w:r>
      <w:r w:rsidR="00000000" w:rsidRPr="00000000" w:rsidDel="00000000">
        <w:rPr>
          <w:rtl w:val="0"/>
        </w:rPr>
        <w:t xml:space="preserve">26. apakšpunktā minētajai kompetencei."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Ja atbildīgā iestāde vai tirgus uzraudzības iestāde 30 dienu laikā nav saņēmusi atbildi uz informācijas pieprasījumu vai ziņojumu par informācijas sniegšanas grūtībām, tā informē savu IMI sistēmas piekļuves pārvaldnieku vai, ja tāda nav, nacionālo IMI sistēmas koordinatoru."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45.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Atbildīgā iestāde par tehnisko noteikumu projektu pakalpojumu jomā paziņo Eiropas Komisijai un citām dalībvalstīm pēc saskaņošanas ar iesaistītajām iestādēm tādā redakcijā, kāda sagatavota iesniegšanai Ministru kabinetā. Pašvaldības dome saistošos noteikumus paziņo Eiropas Komisijai un citām dalībvalstīm tādā redakcijā, kāda sagatavota pēc Brīvas pakalpojumu sniegšanas likumā noteiktās saskaņošanas ar Ekonomikas ministriju un Pašvaldību likumā noteiktā atzinuma saņemšanas no Vides aizsardzības un reģionālās attīstības ministrijas."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47.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 Par tehnisko noteikumu projektu pakalpojumu jomā nav jāpaziņo IMI sistēmā, ja tas vienlaikus ir tehnisko noteikumu projekts produktu jomā un par to ir paziņots Tehnisko noteikumu informācijas sistēmā (TRIS)."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54.2.1.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"54.2.1. pārbauda un apliecina pretendenta iesniegto dokumentu autentiskumu un derīgumu, kā arī pārbauda Fizisko personu reģistrā ziņas par pretendenta iesniegto personu apliecinošo dokumentu un ziņas par pretendenta dzimšanas vietu (ja personu apliecinošajā dokumentā dzimšanas vieta nav norādīta), ievērojot Fizisko personu reģistra likuma 11. panta pirmās daļas 7. un 16. punktā noteikto;".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61.2.2.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"61.2.2. ziņas par pretendenta iesniegto personu apliecinošo dokumentu un ziņas par pretendenta dzimšanas vietu, ja personu apliecinošajā dokumentā dzimšanas vieta nav norādīta, pārbauda Fizisko personu reģistrā, ievērojot Fizisko personu reģistra likuma 11. panta pirmās daļas 7. un 16. punktā noteikto;".</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23-TA-243</w:t>
    </w:r>
    <w:r>
      <w:br/>
    </w:r>
    <w:r w:rsidR="00000000" w:rsidRPr="00000000" w:rsidDel="00000000">
      <w:rPr>
        <w:rtl w:val="0"/>
      </w:rPr>
      <w:t xml:space="preserve">Izdrukāts 30.07.2026. 00.19 - 1.0.VK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23-TA-243</w:t>
    </w:r>
    <w:r>
      <w:br/>
    </w:r>
    <w:r w:rsidR="00000000" w:rsidRPr="00000000" w:rsidDel="00000000">
      <w:rPr>
        <w:rtl w:val="0"/>
      </w:rPr>
      <w:t xml:space="preserve">Izdrukāts 30.07.2026. 00.19 - 1.0.VK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noteikumu_(grozījumu)_projekts_23-TA-243.docx</dc:title>
</cp:coreProperties>
</file>

<file path=docProps/custom.xml><?xml version="1.0" encoding="utf-8"?>
<Properties xmlns="http://schemas.openxmlformats.org/officeDocument/2006/custom-properties" xmlns:vt="http://schemas.openxmlformats.org/officeDocument/2006/docPropsVTypes"/>
</file>