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 panta 19. punktu un </w:t>
      </w:r>
      <w:r w:rsidR="00000000" w:rsidRPr="00000000" w:rsidDel="00000000">
        <w:rPr>
          <w:rStyle w:val="paragraph"/>
          <w:i w:val="1"/>
          <w:rtl w:val="0"/>
        </w:rPr>
        <w:t xml:space="preserve">Vispārējās 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 panta 11. un 11.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3. septembra noteikumos Nr. 416 "Noteikumi par valsts vispārējās vidējās izglītības standartu un vispārējās vidējās izglītības programmu paraugiem" (Latvijas Vēstnesis, 2019, 197. nr.; 2021, 21. nr.; 2022, 96., 175., 190. nr.; 2023, 164. nr.; 2024, 81., 123. nr.; 2025, 103.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"21.5. ne mazāk kā viens valsts pārbaudes darbs padziļinātājos kursos augstākajā mācību satura apguves līmenī, tajā skaitā arī šo noteikumu 21.1., 21.2., 21.3. un 21.4. apakšpunktā minētie pārbaudes darbi."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25-TA-2149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25-TA-2149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