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14. jūlijā (prot. Nr. 36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Aizsardzības ministrijai finansējumu 398 085 </w:t>
      </w:r>
      <w:r w:rsidR="00000000" w:rsidRPr="00000000" w:rsidDel="00000000">
        <w:rPr>
          <w:i w:val="1"/>
          <w:rtl w:val="0"/>
        </w:rPr>
        <w:t xml:space="preserve">euro</w:t>
      </w:r>
      <w:r w:rsidR="00000000" w:rsidRPr="00000000" w:rsidDel="00000000">
        <w:rPr>
          <w:rtl w:val="0"/>
        </w:rPr>
        <w:t xml:space="preserve"> apmērā, lai nodrošinātu atlīdzību Ministru kabineta 2021. gada 10. augusta rīkojumā Nr. 518 "Par ārkārtējās situācijas izsludināšanu" minēto pasākumu īstenošanā iesaistītajiem zemessargiem par laikposmu no 2022. gada 1. janvāra līdz 2022. gada 30. aprīlim.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līdzekļu piešķiršanu no valsts budžeta programmas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22-TA-1584</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22-TA-1584</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rīkojuma_projekts_22-TA-1584.docx</dc:title>
</cp:coreProperties>
</file>

<file path=docProps/custom.xml><?xml version="1.0" encoding="utf-8"?>
<Properties xmlns="http://schemas.openxmlformats.org/officeDocument/2006/custom-properties" xmlns:vt="http://schemas.openxmlformats.org/officeDocument/2006/docPropsVTypes"/>
</file>