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zemes vienības piekritību valstij un tās ierakstīšanu zemesgrāmatā uz valsts vārda Viedās administrācijas un reģionālās attīstības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Ķemeru nacionālā parka likuma 4. panta pirmo daļu un likuma "Par valsts un pašvaldību zemes īpašuma tiesībām un to nostiprināšanu zemesgrāmatās" 8. panta otro daļu saglabāt valsts īpašumā un nodot Viedās administrācijas un reģionālās attīstības ministrijas valdījumā nekustamo īpašumu "Vītoli" (nekustamā īpašuma kadastra Nr. 9082 007 0009) – zemes vienību (zemes vienības kadastra apzīmējums 9082 007 0009) 0,9 ha platībā – Smārdes pagastā, Tukuma novadā, kas nepieciešams dabas aizsardzības politikas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šā rīkojuma 1. punktā minētās zemes vienības kadastrālās uzmērīšanas platība var tikt precizēta.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Viedās administrācijas un reģionālās attīstības ministrijai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normatīvajos aktos noteiktajā kārtībā ierakstīt zemesgrāmatā uz valsts vārda Viedās administrācijas un reģionālās attīstības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25-TA-1398</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25-TA-1398</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rīkojuma_projekts_25-TA-1398.docx</dc:title>
</cp:coreProperties>
</file>

<file path=docProps/custom.xml><?xml version="1.0" encoding="utf-8"?>
<Properties xmlns="http://schemas.openxmlformats.org/officeDocument/2006/custom-properties" xmlns:vt="http://schemas.openxmlformats.org/officeDocument/2006/docPropsVTypes"/>
</file>