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decembrī (prot. Nr. 50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3. novembra rīkojumā Nr. 783 "Par atšķirīgu dividendēs izmaksājamo valsts akciju sabiedrības "Valsts nekustamie īpašumi" peļņas daļu par 2020.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3. novembra rīkojumā Nr. 783 "Par atšķirīgu dividendēs izmaksājamo valsts akciju sabiedrības "Valsts nekustamie īpašumi" peļņas daļu par 2020. gadu" (Latvijas Vēstnesis, 2021, 215.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nekustamā īpašuma (nekustamā īpašuma kadastra Nr. 0100 006 0025) Smilšu ielā 1, Rīgā, sastāvā esošās administratīvās ēkas (būves kadastra apzīmējums 0100 006 0025 005) bīstamības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nekustamā īpašuma (nekustamā īpašuma kadastra Nr. 0100 006 0038) Amatu ielā 6, Rīgā, sastāvā esošās ēkas (būves kadastra apzīmējums 0100 006 0038 001) konstruktīvo elementu pastiprināšanai, nomaiņai un atjaunošanai."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25-TA-2505</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25-TA-2505</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rīkojuma_(grozījumu)_projekts_25-TA-2505.docx</dc:title>
</cp:coreProperties>
</file>

<file path=docProps/custom.xml><?xml version="1.0" encoding="utf-8"?>
<Properties xmlns="http://schemas.openxmlformats.org/officeDocument/2006/custom-properties" xmlns:vt="http://schemas.openxmlformats.org/officeDocument/2006/docPropsVTypes"/>
</file>