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7. jūnija noteikumos Nr. 439 "Noteikumi par kuģu karoga valsts uzraudzības īstenošanu"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br/>
      </w:r>
      <w:r w:rsidR="00000000" w:rsidRPr="00000000" w:rsidDel="00000000">
        <w:rPr>
          <w:rStyle w:val="paragraph"/>
          <w:i w:val="1"/>
          <w:rtl w:val="0"/>
        </w:rPr>
        <w:t xml:space="preserve">12.panta trešo daļu un 17.panta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7. jūnija noteikumos Nr. 439 "Noteikumi par kuģu karoga valsts uzraudzības īstenošanu" (Latvijas Vēstnesis, 2011, 97. nr.; 2015, 40., 254.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valsts sabiedrības ar ierobežotu atbildību "Latvijas Jūras administrācija" (turpmāk – Jūras administrācija) Kuģošanas drošības inspekcijas (turpmāk - inspekcija) kuģu kontroles inspektoru funkcijas un tiesības, īstenojot kuģu karoga valsts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vadlīniju izstrādi par to, kā tiek piemērotas starptautiskajos tiesību aktos un Eiropas Savienības tiesību aktos noteiktās prasības pēc administrācijas ieskatiem gadījumos, kad starptautiskie akti to paredz, publicējot tās Jūras administrācijas mājas lapā internetā."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Latvijas kuģiem, kas saskaņā ar šiem noteikumiem ir atzīto organizāciju uzraudzībā, inspekcija veic periodiskas karoga valsts pārbaudes, lai pārliecinātos par Latvijas kuģu atbilstību atzīto organizāciju izsniegtajām konvencionālajām apliecībām, kā arī lai pārbaudītu Latvijas kuģu apkalpes, ekspluatācijas un apkopes atbilstību starptautisko tiesību aktu prasībām un kontrolētu atzītajām organizācijām deleģēto funkciju izpildes kvalitāti, ņemot vērā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Latvijas kuģiem, kuri ir iesaistīti tikai vietējā kuģošanā, un zvejas kuģiem karoga valsts pārbaudes veic ikgadēji, tā, ka intervāls starp karoga valsts pārbaudēm ir no 9 līdz 15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Latvijas kuģiem, kuri ir iesaistīti starptautiskajā kuģošanā un kuri ir augsta riska kuģi saskaņā ar ostas valsts kontroles noteikumiem, karoga valsts pārbaudes veic vismaz reizi 12 mēnešos;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Latvijas kuģiem, kuri ir iesaistīti starptautiskajā kuģošanā un kuri ir standarta riska kuģi saskaņā ar ostas valsts kontroles noteikumiem, karoga valsts pārbaudes veic kopā ar šo noteikumu 6. punktā nepieciešamajām kuģa aizsardzības pārbaudēm;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Latvijas kuģiem, kuri ir iesaistīti starptautiskajā kuģošanā un kuri ir zema riska kuģi saskaņā ar ostas valsts kontroles noteikumiem, karoga valsts pārbaudes neveic."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Latvijas kuģiem, kas saskaņā ar šiem noteikumiem ir inspekcijas tehniskajā uzraudzībā, kuģa karoga valsts pārbaudes veic saskaņā ar piemērojamiem normatīvajiem aktiem par kuģu drošību, zvejas kuģu drošību vai pasažieru kuģu drošību."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ir aizdomas par Latvijas kuģa neatbilstību starptautisko tiesību aktu prasībām, inspekcijai ir tiesības veikt tā ārpuskārtas karoga valsts pārbaudes (operatīvās pārbaudes). Pēc inspekcijas pieprasījuma saņemšanas kuģa īpašnieka pienākums ir kuģi uzrādīt pirmajā ostā, kur ir iespējama nokļūšana uz kuģa."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Inspekcija var atbrīvot Latvijas kuģi no atsevišķu šajos noteikumos noteikto prasību izpildes atbilstoši Latvijai saistošajiem starptautiskajiem tiesību aktiem par kuģošanas drošību, izsniedzot tam atbrīvojuma apliecību. Atbrīvojuma apliecību izsniedz inspekcija vai atzītā organizācija saskaņā ar inspekcijas pilnvarojumu. Jūras administrācija nodrošina ziņošanu attiecīgajām starptautiskajām organizācijām par izsniegtajiem atbrīvojumiem saskaņā ar starptautiskiem normatīviem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Latvijas Kuģu reģistrā reģistrētie kuģi, kas būvēti līdz 2010.gada 1.jūlijam, atbilst Kodeksa par kuģu noturību (</w:t>
      </w:r>
      <w:r w:rsidR="00000000" w:rsidRPr="00000000" w:rsidDel="00000000">
        <w:rPr>
          <w:i w:val="1"/>
          <w:rtl w:val="0"/>
        </w:rPr>
        <w:t xml:space="preserve">Code on Intact Stability</w:t>
      </w:r>
      <w:r w:rsidR="00000000" w:rsidRPr="00000000" w:rsidDel="00000000">
        <w:rPr>
          <w:rtl w:val="0"/>
        </w:rPr>
        <w:t xml:space="preserve">) (pieņemts ar Starptautiskās Jūras organizācijas rezolūciju A.749(18)) prasībām, ja vien attiecīgajiem kuģiem nav piemērojamas stingrākas kuģa noturības prasības saskaņā ar normatīvajiem aktiem par kuģu drošību, zvejas kuģu drošību vai pasažieru kuģu drošību. Kuģa īpašnieks vai viņa pilnvarota persona nodrošina, ka noturības informācijas kopija un šīs noturības informācijas izmaiņas ir iesniegtas inspekcijā.”".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Latvijas Kuģu reģistrā reģistrētie kuģi, kas būvēti pēc 2010.gada 1.jūlija, atbilst Kodeksa par kuģu noturību (</w:t>
      </w:r>
      <w:r w:rsidR="00000000" w:rsidRPr="00000000" w:rsidDel="00000000">
        <w:rPr>
          <w:i w:val="1"/>
          <w:rtl w:val="0"/>
        </w:rPr>
        <w:t xml:space="preserve">International Code on Intact Stability</w:t>
      </w:r>
      <w:r w:rsidR="00000000" w:rsidRPr="00000000" w:rsidDel="00000000">
        <w:rPr>
          <w:rtl w:val="0"/>
        </w:rPr>
        <w:t xml:space="preserve">) (apstiprināts ar Starptautiskās Jūras organizācijas rezolūciju MSC.267(85)) obligātās A daļas prasībām, ja vien attiecīgajiem kuģiem nav piemērojamas stingrākas kuģa noturības prasības saskaņā ar normatīvajiem aktiem par kuģu drošību, zvejas kuģu drošību vai pasažieru kuģu drošību. Kuģa īpašnieks vai viņa pilnvarota persona nodrošina, ka noturības informācijas kopija un šīs noturības informācijas izmaiņas ir iesniegtas inspekcijā."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Latvijas kuģa modernizāciju vai pārbūvi veic saskaņā ar šo noteikumu 18.punktā norādītajām prasībām. Tāda kuģa, kam kuģa modernizācija vai pārbūve nav atbilstoša šo noteikumu 18.punktā noteiktajām prasībām, ekspluatācija ir aizliegta. Ja inspekcija konstatē patvaļīgu kuģa modernizāciju vai pārbūvi, tā uzdod kuģa īpašniekam atgriezt kuģi tā sākotnējā stāvoklī, kādā tas bija pirms šīs kuģa modernizācijas vai pārbūves darbu uzsākšanas. Kuģa īpašniekam ir pienākums veikt attiecīgos darbus tiešā inspekcijas vai atzītās organizācijas uzraudzībā. Kuģa ekspluatācija līdz brīdim, kamēr kuģis ir atgriezts tā sākotnējā stāvoklī, ir aizliegta."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Tādu Latvijas kuģu modernizācijas vai pārbūves uzraudzību, kuru bruto tilpība saskaņā ar inspekcijas izsniegto tilpības apliecību ir mazāka par 500, pēc Latvijas kuģa īpašnieka izvēles veic atzītā organizācija vai inspekcija. Ja kuģa modernizācijas vai pārbūves uzraudzību veic inspekcija, tad kuģa modernizāciju vai pārbūvi var uzsākt tikai pēc kuģa pārbūves atļaujas saņemšanas. Kuģa pārbūves atļauju izsniedz inspekcija, balstoties uz inspekcijas saskaņotu kuģa modernizācijas vai pārbūves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22-TA-1319</w:t>
    </w:r>
    <w:r>
      <w:br/>
    </w:r>
    <w:r w:rsidR="00000000" w:rsidRPr="00000000" w:rsidDel="00000000">
      <w:rPr>
        <w:rtl w:val="0"/>
      </w:rPr>
      <w:t xml:space="preserve">Izdrukāts 29.07.2026. 23.08 - 1.0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22-TA-1319</w:t>
    </w:r>
    <w:r>
      <w:br/>
    </w:r>
    <w:r w:rsidR="00000000" w:rsidRPr="00000000" w:rsidDel="00000000">
      <w:rPr>
        <w:rtl w:val="0"/>
      </w:rPr>
      <w:t xml:space="preserve">Izdrukāts 29.07.2026. 23.08 - 1.0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noteikumu_(grozījumu)_projekts_22-TA-1319.docx</dc:title>
</cp:coreProperties>
</file>

<file path=docProps/custom.xml><?xml version="1.0" encoding="utf-8"?>
<Properties xmlns="http://schemas.openxmlformats.org/officeDocument/2006/custom-properties" xmlns:vt="http://schemas.openxmlformats.org/officeDocument/2006/docPropsVTypes"/>
</file>