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9. jūlija noteikumos Nr. 328 "Sankciju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Starptautisko un Latvijas Republikas</w:t>
      </w:r>
      <w:r>
        <w:br/>
      </w:r>
      <w:r w:rsidR="00000000" w:rsidRPr="00000000" w:rsidDel="00000000">
        <w:rPr>
          <w:rStyle w:val="paragraph"/>
          <w:i w:val="1"/>
          <w:rtl w:val="0"/>
        </w:rPr>
        <w:t xml:space="preserve">nacionālo sankciju likuma</w:t>
      </w:r>
      <w:r w:rsidR="00000000" w:rsidRPr="00000000" w:rsidDel="00000000">
        <w:rPr>
          <w:rStyle w:val="paragraph"/>
          <w:i w:val="1"/>
          <w:rtl w:val="0"/>
        </w:rPr>
        <w:t xml:space="preserve"> 16.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9. jūlija noteikumos Nr. 328 "Sankciju koordinācijas padomes nolikums" (Latvijas Vēstnesis, 2019, 142. nr.; 2021, 225. nr.; 2022,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Sankciju koordinācijas padome (turpmāk – padome) ir Ministru kabineta izveidota konsultatīva institūcija, kuras mērķis ir koordinēt to uzraudzības institūciju darbību, kuras ir atbildīgas par starptautisko un Latvijas Republikas nacionālo sankciju izpildi, tās uzraudzību vai kontroli, un veicināt vienotu pieeju normatīvo aktu piemērošanā starptautisko un Latvijas Republikas nacionālo sankciju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koordinēt normatīvo aktu vienveidīgu piemērošanu starptautisko un Latvijas Republikas nacionālo sankciju jomā, tai skaitā cīņā pret terorismu un masveida iznīcināšanas ieroču izgatavošanu, glabāšanu, pārvietošanu, lietošanu vai izplatīšanu;".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3.3.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3.4.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veicināt valsts institūciju un privātā sektora sadarbību, izpildot starptautiskās un Latvijas Republikas nacionālās sankcijas."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"6.27. Nacionālās elektronisko plašsaziņas līdzekļu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"6.28. Valsts kases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6.29.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"6.29. Klimata un enerģētikas ministrijas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Padomes sēdes organizē ne retāk kā divas reizes gadā."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24-TA-304</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24-TA-304</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noteikumu_(grozījumu)_projekts_24-TA-304.docx</dc:title>
</cp:coreProperties>
</file>

<file path=docProps/custom.xml><?xml version="1.0" encoding="utf-8"?>
<Properties xmlns="http://schemas.openxmlformats.org/officeDocument/2006/custom-properties" xmlns:vt="http://schemas.openxmlformats.org/officeDocument/2006/docPropsVTypes"/>
</file>