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18. aprīlī (prot. Nr. 20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12 929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01.05.00 "Dotācija privātajām mācību iestādēm", lai privātajām izglītības iestādēm kompensētu izdevumus, kas saistīti ar izglītības ieguves iespēju nodrošināšanu nepilngadīgajiem Ukrainas civiliedzīvotājiem (patvēruma meklētājiem) laikposmā no 2022. gada 1. jūlija līdz 2022.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23-TA-55</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23-TA-55</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rīkojuma_projekts_23-TA-55.docx</dc:title>
</cp:coreProperties>
</file>

<file path=docProps/custom.xml><?xml version="1.0" encoding="utf-8"?>
<Properties xmlns="http://schemas.openxmlformats.org/officeDocument/2006/custom-properties" xmlns:vt="http://schemas.openxmlformats.org/officeDocument/2006/docPropsVTypes"/>
</file>